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B44B0" w14:textId="4270102B" w:rsidR="00FC0025" w:rsidRDefault="00F41906" w:rsidP="00D16F1B">
      <w:pPr>
        <w:pStyle w:val="Title"/>
        <w:tabs>
          <w:tab w:val="left" w:pos="8835"/>
        </w:tabs>
        <w:jc w:val="right"/>
        <w:rPr>
          <w:noProof/>
        </w:rPr>
      </w:pPr>
      <w:bookmarkStart w:id="0" w:name="_GoBack"/>
      <w:bookmarkEnd w:id="0"/>
      <w:r>
        <w:rPr>
          <w:noProof/>
          <w:sz w:val="20"/>
          <w:lang w:val="en-US"/>
        </w:rPr>
        <mc:AlternateContent>
          <mc:Choice Requires="wps">
            <w:drawing>
              <wp:anchor distT="0" distB="0" distL="114300" distR="114300" simplePos="0" relativeHeight="251652608" behindDoc="1" locked="0" layoutInCell="1" allowOverlap="1" wp14:anchorId="380B7CA8" wp14:editId="6D84D7A0">
                <wp:simplePos x="0" y="0"/>
                <wp:positionH relativeFrom="margin">
                  <wp:posOffset>-349885</wp:posOffset>
                </wp:positionH>
                <wp:positionV relativeFrom="margin">
                  <wp:posOffset>1850390</wp:posOffset>
                </wp:positionV>
                <wp:extent cx="7197090" cy="2654300"/>
                <wp:effectExtent l="0" t="0" r="0" b="12700"/>
                <wp:wrapThrough wrapText="bothSides">
                  <wp:wrapPolygon edited="0">
                    <wp:start x="0" y="0"/>
                    <wp:lineTo x="0" y="21497"/>
                    <wp:lineTo x="21497" y="21497"/>
                    <wp:lineTo x="21497"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7090" cy="2654300"/>
                        </a:xfrm>
                        <a:prstGeom prst="rect">
                          <a:avLst/>
                        </a:prstGeom>
                        <a:solidFill>
                          <a:srgbClr val="FFFFFF"/>
                        </a:solidFill>
                        <a:ln w="19050">
                          <a:noFill/>
                          <a:miter lim="800000"/>
                        </a:ln>
                      </wps:spPr>
                      <wps:txbx>
                        <w:txbxContent>
                          <w:p w14:paraId="4FD39C67" w14:textId="77777777" w:rsidR="00104D9B" w:rsidRPr="00A124BC" w:rsidRDefault="00104D9B" w:rsidP="00813110">
                            <w:pPr>
                              <w:pStyle w:val="Heading2"/>
                              <w:spacing w:before="120"/>
                              <w:rPr>
                                <w:color w:val="008000"/>
                              </w:rPr>
                            </w:pPr>
                            <w:r w:rsidRPr="00A124BC">
                              <w:rPr>
                                <w:color w:val="008000"/>
                              </w:rPr>
                              <w:t>Key messages</w:t>
                            </w:r>
                          </w:p>
                          <w:p w14:paraId="0B0CB8D8" w14:textId="6634C581" w:rsidR="00104D9B" w:rsidRPr="00A124BC" w:rsidRDefault="00104D9B" w:rsidP="00BC1A49">
                            <w:pPr>
                              <w:pStyle w:val="ListParagraph"/>
                              <w:numPr>
                                <w:ilvl w:val="0"/>
                                <w:numId w:val="9"/>
                              </w:numPr>
                              <w:spacing w:after="0"/>
                              <w:rPr>
                                <w:color w:val="008000"/>
                                <w:sz w:val="23"/>
                                <w:szCs w:val="23"/>
                              </w:rPr>
                            </w:pPr>
                            <w:r w:rsidRPr="00A124BC">
                              <w:rPr>
                                <w:color w:val="008000"/>
                                <w:sz w:val="23"/>
                                <w:szCs w:val="23"/>
                              </w:rPr>
                              <w:t>The covid-19 pandemic is likely to cause significant hardship to not only the oil sector, but also the non-oil export sector.</w:t>
                            </w:r>
                          </w:p>
                          <w:p w14:paraId="6F507429" w14:textId="0AC991E9" w:rsidR="00104D9B" w:rsidRPr="00A124BC" w:rsidRDefault="00104D9B" w:rsidP="00BC1A49">
                            <w:pPr>
                              <w:pStyle w:val="ListParagraph"/>
                              <w:numPr>
                                <w:ilvl w:val="0"/>
                                <w:numId w:val="9"/>
                              </w:numPr>
                              <w:spacing w:after="0"/>
                              <w:rPr>
                                <w:color w:val="008000"/>
                                <w:sz w:val="23"/>
                                <w:szCs w:val="23"/>
                              </w:rPr>
                            </w:pPr>
                            <w:r w:rsidRPr="00A124BC">
                              <w:rPr>
                                <w:color w:val="008000"/>
                                <w:sz w:val="23"/>
                                <w:szCs w:val="23"/>
                              </w:rPr>
                              <w:t>Agricultural exports, especially cocoa, are predicted to suffer. A fall in exports of over US$100 million in the cocoa sector in Nigeria is predicted as a result of declining prices due to falling demand in Europe.</w:t>
                            </w:r>
                          </w:p>
                          <w:p w14:paraId="2029D7A4" w14:textId="5B470E6D" w:rsidR="00104D9B" w:rsidRPr="00A124BC" w:rsidRDefault="00104D9B" w:rsidP="00BC1A49">
                            <w:pPr>
                              <w:pStyle w:val="ListParagraph"/>
                              <w:numPr>
                                <w:ilvl w:val="0"/>
                                <w:numId w:val="9"/>
                              </w:numPr>
                              <w:spacing w:after="0"/>
                              <w:rPr>
                                <w:color w:val="008000"/>
                                <w:sz w:val="23"/>
                                <w:szCs w:val="23"/>
                              </w:rPr>
                            </w:pPr>
                            <w:r w:rsidRPr="00A124BC">
                              <w:rPr>
                                <w:color w:val="008000"/>
                                <w:sz w:val="23"/>
                                <w:szCs w:val="23"/>
                              </w:rPr>
                              <w:t>Sesame exports are likely to prove more resilient, owing to a smaller decline in prices, and more diversified export markets.</w:t>
                            </w:r>
                            <w:r>
                              <w:rPr>
                                <w:color w:val="008000"/>
                                <w:sz w:val="23"/>
                                <w:szCs w:val="23"/>
                              </w:rPr>
                              <w:t xml:space="preserve"> </w:t>
                            </w:r>
                          </w:p>
                          <w:p w14:paraId="3EDED9DB" w14:textId="637D61AC" w:rsidR="00104D9B" w:rsidRPr="00A124BC" w:rsidRDefault="00104D9B" w:rsidP="00BC1A49">
                            <w:pPr>
                              <w:pStyle w:val="ListParagraph"/>
                              <w:numPr>
                                <w:ilvl w:val="0"/>
                                <w:numId w:val="9"/>
                              </w:numPr>
                              <w:spacing w:after="0"/>
                              <w:rPr>
                                <w:color w:val="008000"/>
                                <w:sz w:val="23"/>
                                <w:szCs w:val="23"/>
                              </w:rPr>
                            </w:pPr>
                            <w:r w:rsidRPr="00A124BC">
                              <w:rPr>
                                <w:color w:val="008000"/>
                                <w:sz w:val="23"/>
                                <w:szCs w:val="23"/>
                              </w:rPr>
                              <w:t xml:space="preserve">Cashew exports are at risk owing to the Viet Nam Cashew Association’s guidance to enterprises within the country to carefully consider before importing raw cashew. A fall in exports of close to US$90 million for Nigerian cashew exporters is likely. </w:t>
                            </w:r>
                          </w:p>
                          <w:p w14:paraId="5A877067" w14:textId="1739B523" w:rsidR="00104D9B" w:rsidRPr="00A124BC" w:rsidRDefault="00104D9B" w:rsidP="00BC1A49">
                            <w:pPr>
                              <w:pStyle w:val="ListParagraph"/>
                              <w:numPr>
                                <w:ilvl w:val="0"/>
                                <w:numId w:val="9"/>
                              </w:numPr>
                              <w:spacing w:after="0"/>
                              <w:rPr>
                                <w:color w:val="008000"/>
                                <w:sz w:val="23"/>
                                <w:szCs w:val="23"/>
                              </w:rPr>
                            </w:pPr>
                            <w:r w:rsidRPr="00A124BC">
                              <w:rPr>
                                <w:color w:val="008000"/>
                                <w:sz w:val="23"/>
                                <w:szCs w:val="23"/>
                              </w:rPr>
                              <w:t xml:space="preserve">The recommendations made by the Nigerian Governors’ Forum on special clearance for producers, suppliers and distributors of essential goods and services at the nation’s ports, should be extended to exporters of goods who had secured orders before the pandemic and are seeking to execute them. </w:t>
                            </w:r>
                          </w:p>
                          <w:p w14:paraId="32204334" w14:textId="77777777" w:rsidR="00104D9B" w:rsidRPr="00E61250" w:rsidRDefault="00104D9B" w:rsidP="00E61250">
                            <w:pPr>
                              <w:rPr>
                                <w:color w:val="008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0B7CA8" id="_x0000_t202" coordsize="21600,21600" o:spt="202" path="m,l,21600r21600,l21600,xe">
                <v:stroke joinstyle="miter"/>
                <v:path gradientshapeok="t" o:connecttype="rect"/>
              </v:shapetype>
              <v:shape id="Text Box 2" o:spid="_x0000_s1026" type="#_x0000_t202" style="position:absolute;left:0;text-align:left;margin-left:-27.55pt;margin-top:145.7pt;width:566.7pt;height:209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" stroked="f" strokeweight="1.5pt">
                <v:textbox>
                  <w:txbxContent>
                    <w:p w14:paraId="4FD39C67" w14:textId="77777777" w:rsidR="00104D9B" w:rsidRPr="00A124BC" w:rsidRDefault="00104D9B" w:rsidP="00813110">
                      <w:pPr>
                        <w:pStyle w:val="Heading2"/>
                        <w:spacing w:before="120"/>
                        <w:rPr>
                          <w:color w:val="008000"/>
                        </w:rPr>
                      </w:pPr>
                      <w:r w:rsidRPr="00A124BC">
                        <w:rPr>
                          <w:color w:val="008000"/>
                        </w:rPr>
                        <w:t>Key messages</w:t>
                      </w:r>
                    </w:p>
                    <w:p w14:paraId="0B0CB8D8" w14:textId="6634C581" w:rsidR="00104D9B" w:rsidRPr="00A124BC" w:rsidRDefault="00104D9B" w:rsidP="00BC1A49">
                      <w:pPr>
                        <w:pStyle w:val="ListParagraph"/>
                        <w:numPr>
                          <w:ilvl w:val="0"/>
                          <w:numId w:val="9"/>
                        </w:numPr>
                        <w:spacing w:after="0"/>
                        <w:rPr>
                          <w:color w:val="008000"/>
                          <w:sz w:val="23"/>
                          <w:szCs w:val="23"/>
                        </w:rPr>
                      </w:pPr>
                      <w:r w:rsidRPr="00A124BC">
                        <w:rPr>
                          <w:color w:val="008000"/>
                          <w:sz w:val="23"/>
                          <w:szCs w:val="23"/>
                        </w:rPr>
                        <w:t>The covid-19 pandemic is likely to cause significant hardship to not only the oil sector, but also the non-oil export sector.</w:t>
                      </w:r>
                    </w:p>
                    <w:p w14:paraId="6F507429" w14:textId="0AC991E9" w:rsidR="00104D9B" w:rsidRPr="00A124BC" w:rsidRDefault="00104D9B" w:rsidP="00BC1A49">
                      <w:pPr>
                        <w:pStyle w:val="ListParagraph"/>
                        <w:numPr>
                          <w:ilvl w:val="0"/>
                          <w:numId w:val="9"/>
                        </w:numPr>
                        <w:spacing w:after="0"/>
                        <w:rPr>
                          <w:color w:val="008000"/>
                          <w:sz w:val="23"/>
                          <w:szCs w:val="23"/>
                        </w:rPr>
                      </w:pPr>
                      <w:r w:rsidRPr="00A124BC">
                        <w:rPr>
                          <w:color w:val="008000"/>
                          <w:sz w:val="23"/>
                          <w:szCs w:val="23"/>
                        </w:rPr>
                        <w:t>Agricultural exports, especially cocoa, are predicted to suffer. A fall in exports of over US$100 million in the cocoa sector in Nigeria is predicted as a result of declining prices due to falling demand in Europe.</w:t>
                      </w:r>
                    </w:p>
                    <w:p w14:paraId="2029D7A4" w14:textId="5B470E6D" w:rsidR="00104D9B" w:rsidRPr="00A124BC" w:rsidRDefault="00104D9B" w:rsidP="00BC1A49">
                      <w:pPr>
                        <w:pStyle w:val="ListParagraph"/>
                        <w:numPr>
                          <w:ilvl w:val="0"/>
                          <w:numId w:val="9"/>
                        </w:numPr>
                        <w:spacing w:after="0"/>
                        <w:rPr>
                          <w:color w:val="008000"/>
                          <w:sz w:val="23"/>
                          <w:szCs w:val="23"/>
                        </w:rPr>
                      </w:pPr>
                      <w:r w:rsidRPr="00A124BC">
                        <w:rPr>
                          <w:color w:val="008000"/>
                          <w:sz w:val="23"/>
                          <w:szCs w:val="23"/>
                        </w:rPr>
                        <w:t>Sesame exports are likely to prove more resilient, owing to a smaller decline in prices, and more diversified export markets.</w:t>
                      </w:r>
                      <w:r>
                        <w:rPr>
                          <w:color w:val="008000"/>
                          <w:sz w:val="23"/>
                          <w:szCs w:val="23"/>
                        </w:rPr>
                        <w:t xml:space="preserve"> </w:t>
                      </w:r>
                    </w:p>
                    <w:p w14:paraId="3EDED9DB" w14:textId="637D61AC" w:rsidR="00104D9B" w:rsidRPr="00A124BC" w:rsidRDefault="00104D9B" w:rsidP="00BC1A49">
                      <w:pPr>
                        <w:pStyle w:val="ListParagraph"/>
                        <w:numPr>
                          <w:ilvl w:val="0"/>
                          <w:numId w:val="9"/>
                        </w:numPr>
                        <w:spacing w:after="0"/>
                        <w:rPr>
                          <w:color w:val="008000"/>
                          <w:sz w:val="23"/>
                          <w:szCs w:val="23"/>
                        </w:rPr>
                      </w:pPr>
                      <w:r w:rsidRPr="00A124BC">
                        <w:rPr>
                          <w:color w:val="008000"/>
                          <w:sz w:val="23"/>
                          <w:szCs w:val="23"/>
                        </w:rPr>
                        <w:t xml:space="preserve">Cashew exports are at risk owing to the Viet Nam Cashew Association’s guidance to enterprises within the country to carefully consider before importing raw cashew. A fall in exports of close to US$90 million for Nigerian cashew exporters is likely. </w:t>
                      </w:r>
                    </w:p>
                    <w:p w14:paraId="5A877067" w14:textId="1739B523" w:rsidR="00104D9B" w:rsidRPr="00A124BC" w:rsidRDefault="00104D9B" w:rsidP="00BC1A49">
                      <w:pPr>
                        <w:pStyle w:val="ListParagraph"/>
                        <w:numPr>
                          <w:ilvl w:val="0"/>
                          <w:numId w:val="9"/>
                        </w:numPr>
                        <w:spacing w:after="0"/>
                        <w:rPr>
                          <w:color w:val="008000"/>
                          <w:sz w:val="23"/>
                          <w:szCs w:val="23"/>
                        </w:rPr>
                      </w:pPr>
                      <w:r w:rsidRPr="00A124BC">
                        <w:rPr>
                          <w:color w:val="008000"/>
                          <w:sz w:val="23"/>
                          <w:szCs w:val="23"/>
                        </w:rPr>
                        <w:t xml:space="preserve">The recommendations made by the Nigerian Governors’ Forum on special clearance for producers, suppliers and distributors of essential goods and services at the nation’s ports, should be extended to exporters of goods who had secured orders before the pandemic and are seeking to execute them. </w:t>
                      </w:r>
                    </w:p>
                    <w:p w14:paraId="32204334" w14:textId="77777777" w:rsidR="00104D9B" w:rsidRPr="00E61250" w:rsidRDefault="00104D9B" w:rsidP="00E61250">
                      <w:pPr>
                        <w:rPr>
                          <w:color w:val="008000"/>
                        </w:rPr>
                      </w:pPr>
                    </w:p>
                  </w:txbxContent>
                </v:textbox>
                <w10:wrap type="through" anchorx="margin" anchory="margin"/>
              </v:shape>
            </w:pict>
          </mc:Fallback>
        </mc:AlternateContent>
      </w:r>
      <w:r>
        <w:rPr>
          <w:noProof/>
          <w:lang w:val="en-US"/>
        </w:rPr>
        <mc:AlternateContent>
          <mc:Choice Requires="wps">
            <w:drawing>
              <wp:anchor distT="0" distB="0" distL="114300" distR="114300" simplePos="0" relativeHeight="251660800" behindDoc="0" locked="0" layoutInCell="1" allowOverlap="1" wp14:anchorId="1A423FE8" wp14:editId="60291550">
                <wp:simplePos x="0" y="0"/>
                <wp:positionH relativeFrom="page">
                  <wp:align>left</wp:align>
                </wp:positionH>
                <wp:positionV relativeFrom="paragraph">
                  <wp:posOffset>132080</wp:posOffset>
                </wp:positionV>
                <wp:extent cx="7658100" cy="1809750"/>
                <wp:effectExtent l="0" t="0" r="1270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0" cy="1809750"/>
                        </a:xfrm>
                        <a:prstGeom prst="rect">
                          <a:avLst/>
                        </a:prstGeom>
                        <a:solidFill>
                          <a:srgbClr val="0080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69177CB3" w14:textId="3603DC87" w:rsidR="00104D9B" w:rsidRPr="00EB79C8" w:rsidRDefault="00104D9B" w:rsidP="000D2D82">
                            <w:pPr>
                              <w:pStyle w:val="Subtitle"/>
                              <w:spacing w:after="0"/>
                              <w:rPr>
                                <w:b/>
                                <w:bCs/>
                                <w:sz w:val="38"/>
                                <w:szCs w:val="38"/>
                              </w:rPr>
                            </w:pPr>
                            <w:bookmarkStart w:id="1" w:name="_Hlk1909575"/>
                            <w:bookmarkStart w:id="2" w:name="_Hlk1848491"/>
                            <w:r>
                              <w:rPr>
                                <w:rFonts w:ascii="Arial" w:hAnsi="Arial" w:cs="Arial"/>
                                <w:b/>
                                <w:bCs/>
                                <w:sz w:val="38"/>
                                <w:szCs w:val="38"/>
                              </w:rPr>
                              <w:t>Impact Assessment</w:t>
                            </w:r>
                            <w:r w:rsidRPr="00EB79C8">
                              <w:rPr>
                                <w:rFonts w:ascii="Arial" w:hAnsi="Arial" w:cs="Arial"/>
                                <w:b/>
                                <w:bCs/>
                                <w:sz w:val="38"/>
                                <w:szCs w:val="38"/>
                              </w:rPr>
                              <w:t xml:space="preserve"> </w:t>
                            </w:r>
                            <w:r>
                              <w:rPr>
                                <w:rFonts w:ascii="Arial" w:hAnsi="Arial" w:cs="Arial"/>
                                <w:b/>
                                <w:bCs/>
                                <w:sz w:val="38"/>
                                <w:szCs w:val="38"/>
                              </w:rPr>
                              <w:t>and Policy Responses to the Coronavirus P</w:t>
                            </w:r>
                            <w:r w:rsidRPr="00EB79C8">
                              <w:rPr>
                                <w:rFonts w:ascii="Arial" w:hAnsi="Arial" w:cs="Arial"/>
                                <w:b/>
                                <w:bCs/>
                                <w:sz w:val="38"/>
                                <w:szCs w:val="38"/>
                              </w:rPr>
                              <w:t>andemic</w:t>
                            </w:r>
                            <w:r>
                              <w:rPr>
                                <w:rFonts w:ascii="Arial" w:hAnsi="Arial" w:cs="Arial"/>
                                <w:b/>
                                <w:bCs/>
                                <w:sz w:val="38"/>
                                <w:szCs w:val="38"/>
                              </w:rPr>
                              <w:t xml:space="preserve"> on Agricultural Exports</w:t>
                            </w:r>
                          </w:p>
                          <w:p w14:paraId="2567F812" w14:textId="2E9F4367" w:rsidR="00104D9B" w:rsidRPr="00EB79C8" w:rsidRDefault="00104D9B" w:rsidP="000D2D82">
                            <w:pPr>
                              <w:pStyle w:val="Subtitle"/>
                              <w:spacing w:after="0"/>
                              <w:jc w:val="right"/>
                              <w:rPr>
                                <w:bCs/>
                                <w:sz w:val="36"/>
                                <w:szCs w:val="36"/>
                              </w:rPr>
                            </w:pPr>
                            <w:r>
                              <w:rPr>
                                <w:b/>
                                <w:sz w:val="36"/>
                                <w:szCs w:val="36"/>
                              </w:rPr>
                              <w:tab/>
                            </w:r>
                            <w:r>
                              <w:rPr>
                                <w:bCs/>
                                <w:sz w:val="36"/>
                                <w:szCs w:val="36"/>
                              </w:rPr>
                              <w:t>Nigerian Export Promotion Council</w:t>
                            </w:r>
                          </w:p>
                          <w:p w14:paraId="17D88D93" w14:textId="2D467133" w:rsidR="00104D9B" w:rsidRPr="00EB79C8" w:rsidRDefault="00B75A3D" w:rsidP="000D2D82">
                            <w:pPr>
                              <w:pStyle w:val="Subtitle"/>
                              <w:spacing w:after="0"/>
                              <w:jc w:val="right"/>
                              <w:rPr>
                                <w:bCs/>
                                <w:sz w:val="36"/>
                                <w:szCs w:val="36"/>
                              </w:rPr>
                            </w:pPr>
                            <w:r>
                              <w:rPr>
                                <w:bCs/>
                                <w:sz w:val="36"/>
                                <w:szCs w:val="36"/>
                              </w:rPr>
                              <w:t>09</w:t>
                            </w:r>
                            <w:r w:rsidR="00104D9B">
                              <w:rPr>
                                <w:bCs/>
                                <w:sz w:val="36"/>
                                <w:szCs w:val="36"/>
                              </w:rPr>
                              <w:t xml:space="preserve"> April </w:t>
                            </w:r>
                            <w:r w:rsidR="00104D9B" w:rsidRPr="00EB79C8">
                              <w:rPr>
                                <w:bCs/>
                                <w:sz w:val="36"/>
                                <w:szCs w:val="36"/>
                              </w:rPr>
                              <w:t xml:space="preserve">2020  </w:t>
                            </w:r>
                          </w:p>
                          <w:bookmarkEnd w:id="1"/>
                          <w:p w14:paraId="2B69A64E" w14:textId="77777777" w:rsidR="00104D9B" w:rsidRDefault="00104D9B" w:rsidP="008C4234">
                            <w:pPr>
                              <w:pStyle w:val="Subtitle"/>
                              <w:spacing w:after="0"/>
                              <w:rPr>
                                <w:rFonts w:eastAsia="MS Gothic" w:cs="Times New Roman"/>
                                <w:spacing w:val="5"/>
                                <w:kern w:val="28"/>
                                <w:sz w:val="28"/>
                                <w:szCs w:val="32"/>
                              </w:rPr>
                            </w:pPr>
                          </w:p>
                          <w:p w14:paraId="0EA29A02" w14:textId="265FDD54" w:rsidR="00104D9B" w:rsidRDefault="00104D9B" w:rsidP="008C4234">
                            <w:pPr>
                              <w:pStyle w:val="Subtitle"/>
                              <w:spacing w:after="0"/>
                              <w:rPr>
                                <w:rFonts w:eastAsia="MS Gothic" w:cs="Times New Roman"/>
                                <w:spacing w:val="5"/>
                                <w:kern w:val="28"/>
                                <w:sz w:val="24"/>
                                <w:szCs w:val="24"/>
                              </w:rPr>
                            </w:pPr>
                            <w:r>
                              <w:rPr>
                                <w:rFonts w:eastAsia="MS Gothic" w:cs="Times New Roman"/>
                                <w:spacing w:val="5"/>
                                <w:kern w:val="28"/>
                                <w:sz w:val="24"/>
                                <w:szCs w:val="24"/>
                              </w:rPr>
                              <w:t xml:space="preserve">Summary Briefing </w:t>
                            </w:r>
                            <w:bookmarkEnd w:id="2"/>
                            <w:r>
                              <w:rPr>
                                <w:rFonts w:eastAsia="MS Gothic" w:cs="Times New Roman"/>
                                <w:spacing w:val="5"/>
                                <w:kern w:val="28"/>
                                <w:sz w:val="24"/>
                                <w:szCs w:val="24"/>
                              </w:rPr>
                              <w:t>November 2019</w:t>
                            </w:r>
                          </w:p>
                          <w:p w14:paraId="491AE8C7" w14:textId="286100A6" w:rsidR="00104D9B" w:rsidRDefault="00104D9B" w:rsidP="00302E28"/>
                          <w:p w14:paraId="2C62986D" w14:textId="3E3895DB" w:rsidR="00104D9B" w:rsidRPr="00302E28" w:rsidRDefault="00104D9B" w:rsidP="00302E28"/>
                        </w:txbxContent>
                      </wps:txbx>
                      <wps:bodyPr rot="0" spcFirstLastPara="0" vertOverflow="overflow" horzOverflow="overflow" vert="horz" wrap="square" lIns="540000" tIns="360000" rIns="54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23FE8" id="Text Box 4" o:spid="_x0000_s1027" type="#_x0000_t202" style="position:absolute;left:0;text-align:left;margin-left:0;margin-top:10.4pt;width:603pt;height:142.5pt;z-index:2516608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" fillcolor="green" stroked="f">
                <v:textbox inset="15mm,10mm,15mm,10mm">
                  <w:txbxContent>
                    <w:p w14:paraId="69177CB3" w14:textId="3603DC87" w:rsidR="00104D9B" w:rsidRPr="00EB79C8" w:rsidRDefault="00104D9B" w:rsidP="000D2D82">
                      <w:pPr>
                        <w:pStyle w:val="Subtitle"/>
                        <w:spacing w:after="0"/>
                        <w:rPr>
                          <w:b/>
                          <w:bCs/>
                          <w:sz w:val="38"/>
                          <w:szCs w:val="38"/>
                        </w:rPr>
                      </w:pPr>
                      <w:bookmarkStart w:id="3" w:name="_Hlk1909575"/>
                      <w:bookmarkStart w:id="4" w:name="_Hlk1848491"/>
                      <w:r>
                        <w:rPr>
                          <w:rFonts w:ascii="Arial" w:hAnsi="Arial" w:cs="Arial"/>
                          <w:b/>
                          <w:bCs/>
                          <w:sz w:val="38"/>
                          <w:szCs w:val="38"/>
                        </w:rPr>
                        <w:t>Impact Assessment</w:t>
                      </w:r>
                      <w:r w:rsidRPr="00EB79C8">
                        <w:rPr>
                          <w:rFonts w:ascii="Arial" w:hAnsi="Arial" w:cs="Arial"/>
                          <w:b/>
                          <w:bCs/>
                          <w:sz w:val="38"/>
                          <w:szCs w:val="38"/>
                        </w:rPr>
                        <w:t xml:space="preserve"> </w:t>
                      </w:r>
                      <w:r>
                        <w:rPr>
                          <w:rFonts w:ascii="Arial" w:hAnsi="Arial" w:cs="Arial"/>
                          <w:b/>
                          <w:bCs/>
                          <w:sz w:val="38"/>
                          <w:szCs w:val="38"/>
                        </w:rPr>
                        <w:t>and Policy Responses to the Coronavirus P</w:t>
                      </w:r>
                      <w:r w:rsidRPr="00EB79C8">
                        <w:rPr>
                          <w:rFonts w:ascii="Arial" w:hAnsi="Arial" w:cs="Arial"/>
                          <w:b/>
                          <w:bCs/>
                          <w:sz w:val="38"/>
                          <w:szCs w:val="38"/>
                        </w:rPr>
                        <w:t>andemic</w:t>
                      </w:r>
                      <w:r>
                        <w:rPr>
                          <w:rFonts w:ascii="Arial" w:hAnsi="Arial" w:cs="Arial"/>
                          <w:b/>
                          <w:bCs/>
                          <w:sz w:val="38"/>
                          <w:szCs w:val="38"/>
                        </w:rPr>
                        <w:t xml:space="preserve"> on Agricultural Exports</w:t>
                      </w:r>
                    </w:p>
                    <w:p w14:paraId="2567F812" w14:textId="2E9F4367" w:rsidR="00104D9B" w:rsidRPr="00EB79C8" w:rsidRDefault="00104D9B" w:rsidP="000D2D82">
                      <w:pPr>
                        <w:pStyle w:val="Subtitle"/>
                        <w:spacing w:after="0"/>
                        <w:jc w:val="right"/>
                        <w:rPr>
                          <w:bCs/>
                          <w:sz w:val="36"/>
                          <w:szCs w:val="36"/>
                        </w:rPr>
                      </w:pPr>
                      <w:r>
                        <w:rPr>
                          <w:b/>
                          <w:sz w:val="36"/>
                          <w:szCs w:val="36"/>
                        </w:rPr>
                        <w:tab/>
                      </w:r>
                      <w:r>
                        <w:rPr>
                          <w:bCs/>
                          <w:sz w:val="36"/>
                          <w:szCs w:val="36"/>
                        </w:rPr>
                        <w:t>Nigerian Export Promotion Council</w:t>
                      </w:r>
                    </w:p>
                    <w:p w14:paraId="17D88D93" w14:textId="2D467133" w:rsidR="00104D9B" w:rsidRPr="00EB79C8" w:rsidRDefault="00B75A3D" w:rsidP="000D2D82">
                      <w:pPr>
                        <w:pStyle w:val="Subtitle"/>
                        <w:spacing w:after="0"/>
                        <w:jc w:val="right"/>
                        <w:rPr>
                          <w:bCs/>
                          <w:sz w:val="36"/>
                          <w:szCs w:val="36"/>
                        </w:rPr>
                      </w:pPr>
                      <w:r>
                        <w:rPr>
                          <w:bCs/>
                          <w:sz w:val="36"/>
                          <w:szCs w:val="36"/>
                        </w:rPr>
                        <w:t>09</w:t>
                      </w:r>
                      <w:r w:rsidR="00104D9B">
                        <w:rPr>
                          <w:bCs/>
                          <w:sz w:val="36"/>
                          <w:szCs w:val="36"/>
                        </w:rPr>
                        <w:t xml:space="preserve"> April </w:t>
                      </w:r>
                      <w:r w:rsidR="00104D9B" w:rsidRPr="00EB79C8">
                        <w:rPr>
                          <w:bCs/>
                          <w:sz w:val="36"/>
                          <w:szCs w:val="36"/>
                        </w:rPr>
                        <w:t xml:space="preserve">2020  </w:t>
                      </w:r>
                    </w:p>
                    <w:bookmarkEnd w:id="3"/>
                    <w:p w14:paraId="2B69A64E" w14:textId="77777777" w:rsidR="00104D9B" w:rsidRDefault="00104D9B" w:rsidP="008C4234">
                      <w:pPr>
                        <w:pStyle w:val="Subtitle"/>
                        <w:spacing w:after="0"/>
                        <w:rPr>
                          <w:rFonts w:eastAsia="MS Gothic" w:cs="Times New Roman"/>
                          <w:spacing w:val="5"/>
                          <w:kern w:val="28"/>
                          <w:sz w:val="28"/>
                          <w:szCs w:val="32"/>
                        </w:rPr>
                      </w:pPr>
                    </w:p>
                    <w:p w14:paraId="0EA29A02" w14:textId="265FDD54" w:rsidR="00104D9B" w:rsidRDefault="00104D9B" w:rsidP="008C4234">
                      <w:pPr>
                        <w:pStyle w:val="Subtitle"/>
                        <w:spacing w:after="0"/>
                        <w:rPr>
                          <w:rFonts w:eastAsia="MS Gothic" w:cs="Times New Roman"/>
                          <w:spacing w:val="5"/>
                          <w:kern w:val="28"/>
                          <w:sz w:val="24"/>
                          <w:szCs w:val="24"/>
                        </w:rPr>
                      </w:pPr>
                      <w:r>
                        <w:rPr>
                          <w:rFonts w:eastAsia="MS Gothic" w:cs="Times New Roman"/>
                          <w:spacing w:val="5"/>
                          <w:kern w:val="28"/>
                          <w:sz w:val="24"/>
                          <w:szCs w:val="24"/>
                        </w:rPr>
                        <w:t xml:space="preserve">Summary Briefing </w:t>
                      </w:r>
                      <w:bookmarkEnd w:id="4"/>
                      <w:r>
                        <w:rPr>
                          <w:rFonts w:eastAsia="MS Gothic" w:cs="Times New Roman"/>
                          <w:spacing w:val="5"/>
                          <w:kern w:val="28"/>
                          <w:sz w:val="24"/>
                          <w:szCs w:val="24"/>
                        </w:rPr>
                        <w:t>November 2019</w:t>
                      </w:r>
                    </w:p>
                    <w:p w14:paraId="491AE8C7" w14:textId="286100A6" w:rsidR="00104D9B" w:rsidRDefault="00104D9B" w:rsidP="00302E28"/>
                    <w:p w14:paraId="2C62986D" w14:textId="3E3895DB" w:rsidR="00104D9B" w:rsidRPr="00302E28" w:rsidRDefault="00104D9B" w:rsidP="00302E28"/>
                  </w:txbxContent>
                </v:textbox>
                <w10:wrap type="square" anchorx="page"/>
              </v:shape>
            </w:pict>
          </mc:Fallback>
        </mc:AlternateContent>
      </w:r>
    </w:p>
    <w:p w14:paraId="06A9781A" w14:textId="623E33B4" w:rsidR="00CB24BC" w:rsidRDefault="00CB24BC" w:rsidP="00CF3DDC">
      <w:pPr>
        <w:pStyle w:val="Title"/>
        <w:tabs>
          <w:tab w:val="left" w:pos="8835"/>
        </w:tabs>
        <w:jc w:val="center"/>
        <w:sectPr w:rsidR="00CB24BC">
          <w:headerReference w:type="default" r:id="rId11"/>
          <w:footerReference w:type="even" r:id="rId12"/>
          <w:footerReference w:type="default" r:id="rId13"/>
          <w:headerReference w:type="first" r:id="rId14"/>
          <w:footerReference w:type="first" r:id="rId15"/>
          <w:type w:val="continuous"/>
          <w:pgSz w:w="11900" w:h="16840"/>
          <w:pgMar w:top="1418" w:right="851" w:bottom="851" w:left="851" w:header="426" w:footer="720" w:gutter="0"/>
          <w:cols w:space="720"/>
          <w:noEndnote/>
          <w:titlePg/>
        </w:sectPr>
      </w:pPr>
    </w:p>
    <w:p w14:paraId="6BBBAA1E" w14:textId="6F1291B5" w:rsidR="00302E28" w:rsidRPr="00A124BC" w:rsidRDefault="00074721" w:rsidP="00E9341E">
      <w:pPr>
        <w:pStyle w:val="Heading2"/>
        <w:spacing w:before="0" w:after="0"/>
        <w:jc w:val="both"/>
        <w:rPr>
          <w:color w:val="008000"/>
        </w:rPr>
      </w:pPr>
      <w:r w:rsidRPr="00A124BC">
        <w:rPr>
          <w:color w:val="008000"/>
        </w:rPr>
        <w:t xml:space="preserve">1. </w:t>
      </w:r>
      <w:r w:rsidR="004D2219" w:rsidRPr="00A124BC">
        <w:rPr>
          <w:color w:val="008000"/>
        </w:rPr>
        <w:t>Background</w:t>
      </w:r>
    </w:p>
    <w:p w14:paraId="5A7484DF" w14:textId="77777777" w:rsidR="004D2219" w:rsidRDefault="004D2219" w:rsidP="004D2219"/>
    <w:p w14:paraId="7D4EFE08" w14:textId="55D1E9F9" w:rsidR="004D2219" w:rsidRPr="00A124BC" w:rsidRDefault="004D2219" w:rsidP="004D2219">
      <w:pPr>
        <w:jc w:val="both"/>
        <w:rPr>
          <w:sz w:val="23"/>
          <w:szCs w:val="23"/>
        </w:rPr>
      </w:pPr>
      <w:r w:rsidRPr="00A124BC">
        <w:rPr>
          <w:sz w:val="23"/>
          <w:szCs w:val="23"/>
        </w:rPr>
        <w:t xml:space="preserve">The outbreak of covid-19 across the world has had a seismic impact on the global economy. Estimates from </w:t>
      </w:r>
      <w:r w:rsidR="00C37641" w:rsidRPr="00A124BC">
        <w:rPr>
          <w:sz w:val="23"/>
          <w:szCs w:val="23"/>
        </w:rPr>
        <w:t xml:space="preserve">McKinsey </w:t>
      </w:r>
      <w:r w:rsidRPr="00A124BC">
        <w:rPr>
          <w:sz w:val="23"/>
          <w:szCs w:val="23"/>
        </w:rPr>
        <w:t>suggest that Africa faces an i</w:t>
      </w:r>
      <w:r w:rsidR="00C37641" w:rsidRPr="00A124BC">
        <w:rPr>
          <w:sz w:val="23"/>
          <w:szCs w:val="23"/>
        </w:rPr>
        <w:t>mmediate decline in GDP growth by three to eight percentage points.</w:t>
      </w:r>
      <w:r w:rsidRPr="00A124BC">
        <w:rPr>
          <w:sz w:val="23"/>
          <w:szCs w:val="23"/>
        </w:rPr>
        <w:t xml:space="preserve"> However, in Nigeria, the negative economic impact is likely to be even more profound following the crash in international oil prices, reaching as low as $22.58 a barrel. This has</w:t>
      </w:r>
      <w:r w:rsidR="00986F6C" w:rsidRPr="00A124BC">
        <w:rPr>
          <w:sz w:val="23"/>
          <w:szCs w:val="23"/>
        </w:rPr>
        <w:t xml:space="preserve"> been</w:t>
      </w:r>
      <w:r w:rsidRPr="00A124BC">
        <w:rPr>
          <w:sz w:val="23"/>
          <w:szCs w:val="23"/>
        </w:rPr>
        <w:t xml:space="preserve"> extensively analysed given that as of 2019, 87% of Nigeria’s foreign exchange earnings came from crude oil exports. However, with non-oil exports rising year on year prior to the outbreak, the Nigerian Export Promotion Council (NEPC) has identified an impact assessment of covid-19 on the </w:t>
      </w:r>
      <w:r w:rsidR="00F63CBF" w:rsidRPr="00A124BC">
        <w:rPr>
          <w:sz w:val="23"/>
          <w:szCs w:val="23"/>
        </w:rPr>
        <w:t xml:space="preserve">agricultural export </w:t>
      </w:r>
      <w:r w:rsidR="00F41906" w:rsidRPr="00A124BC">
        <w:rPr>
          <w:sz w:val="23"/>
          <w:szCs w:val="23"/>
        </w:rPr>
        <w:t xml:space="preserve">sector as crucial.  </w:t>
      </w:r>
    </w:p>
    <w:p w14:paraId="0B467222" w14:textId="366CB415" w:rsidR="00A46100" w:rsidRPr="00A124BC" w:rsidRDefault="00074721" w:rsidP="00E9341E">
      <w:pPr>
        <w:pStyle w:val="Heading2"/>
        <w:spacing w:after="0"/>
        <w:jc w:val="both"/>
        <w:rPr>
          <w:color w:val="008000"/>
        </w:rPr>
      </w:pPr>
      <w:r w:rsidRPr="00A124BC">
        <w:rPr>
          <w:color w:val="008000"/>
        </w:rPr>
        <w:t xml:space="preserve">2. </w:t>
      </w:r>
      <w:r w:rsidR="004D2219" w:rsidRPr="00A124BC">
        <w:rPr>
          <w:color w:val="008000"/>
        </w:rPr>
        <w:t>Agricultural exports</w:t>
      </w:r>
    </w:p>
    <w:p w14:paraId="2864E6E9" w14:textId="77777777" w:rsidR="00302E28" w:rsidRDefault="00302E28" w:rsidP="00E9341E">
      <w:pPr>
        <w:autoSpaceDE w:val="0"/>
        <w:autoSpaceDN w:val="0"/>
        <w:adjustRightInd w:val="0"/>
        <w:jc w:val="both"/>
        <w:rPr>
          <w:rFonts w:eastAsia="Times New Roman" w:cstheme="minorHAnsi"/>
          <w:szCs w:val="20"/>
          <w:lang w:eastAsia="en-GB"/>
        </w:rPr>
      </w:pPr>
    </w:p>
    <w:p w14:paraId="24E45691" w14:textId="5B8CAE76" w:rsidR="004D2219" w:rsidRPr="00A124BC" w:rsidRDefault="004D2219" w:rsidP="004D2219">
      <w:pPr>
        <w:jc w:val="both"/>
        <w:rPr>
          <w:sz w:val="23"/>
          <w:szCs w:val="23"/>
        </w:rPr>
      </w:pPr>
      <w:r w:rsidRPr="00A124BC">
        <w:rPr>
          <w:sz w:val="23"/>
          <w:szCs w:val="23"/>
        </w:rPr>
        <w:t xml:space="preserve">Whilst many countries are prohibiting exports of certain food products, Nigeria’s agricultural export sector can ill afford to do this. The top 3 Nigerian agricultural exports in 2018, cocoa, sesame and cashew are produced to cater for foreign demand. Demand within the domestic market for these products does not exist in large enough quantities for the Federal Government to require a ban or quota on their exports. </w:t>
      </w:r>
      <w:r w:rsidR="0000747C" w:rsidRPr="00A124BC">
        <w:rPr>
          <w:sz w:val="23"/>
          <w:szCs w:val="23"/>
        </w:rPr>
        <w:t>Exports of these three</w:t>
      </w:r>
      <w:r w:rsidRPr="00A124BC">
        <w:rPr>
          <w:sz w:val="23"/>
          <w:szCs w:val="23"/>
        </w:rPr>
        <w:t xml:space="preserve"> agricultural commodities in 2018 led to foreign exchange earnings of close to </w:t>
      </w:r>
      <w:r w:rsidR="00CF3DDC">
        <w:rPr>
          <w:sz w:val="23"/>
          <w:szCs w:val="23"/>
        </w:rPr>
        <w:t>US</w:t>
      </w:r>
      <w:r w:rsidRPr="00A124BC">
        <w:rPr>
          <w:sz w:val="23"/>
          <w:szCs w:val="23"/>
        </w:rPr>
        <w:t>$800 million for Nigeria</w:t>
      </w:r>
      <w:r w:rsidR="0000747C" w:rsidRPr="00A124BC">
        <w:rPr>
          <w:sz w:val="23"/>
          <w:szCs w:val="23"/>
        </w:rPr>
        <w:t>, accounting for over 70% of all agricultural exports</w:t>
      </w:r>
      <w:r w:rsidRPr="00A124BC">
        <w:rPr>
          <w:sz w:val="23"/>
          <w:szCs w:val="23"/>
        </w:rPr>
        <w:t xml:space="preserve">. Exports of all </w:t>
      </w:r>
      <w:r w:rsidR="0000747C" w:rsidRPr="00A124BC">
        <w:rPr>
          <w:sz w:val="23"/>
          <w:szCs w:val="23"/>
        </w:rPr>
        <w:t>three</w:t>
      </w:r>
      <w:r w:rsidRPr="00A124BC">
        <w:rPr>
          <w:sz w:val="23"/>
          <w:szCs w:val="23"/>
        </w:rPr>
        <w:t xml:space="preserve"> will be affected by the outbreak of covid-19.</w:t>
      </w:r>
    </w:p>
    <w:p w14:paraId="497CF105" w14:textId="77777777" w:rsidR="004D2219" w:rsidRDefault="004D2219" w:rsidP="004D2219">
      <w:pPr>
        <w:jc w:val="both"/>
      </w:pPr>
    </w:p>
    <w:p w14:paraId="17D4FDF3" w14:textId="0DB039AF" w:rsidR="004D2219" w:rsidRPr="00A124BC" w:rsidRDefault="004D2219" w:rsidP="004D2219">
      <w:pPr>
        <w:jc w:val="both"/>
        <w:rPr>
          <w:i/>
          <w:color w:val="008000"/>
          <w:sz w:val="28"/>
          <w:szCs w:val="28"/>
        </w:rPr>
      </w:pPr>
      <w:r>
        <w:lastRenderedPageBreak/>
        <w:tab/>
      </w:r>
      <w:r w:rsidR="00AD2B3A" w:rsidRPr="00A124BC">
        <w:rPr>
          <w:color w:val="008000"/>
          <w:sz w:val="28"/>
          <w:szCs w:val="28"/>
        </w:rPr>
        <w:t>a)</w:t>
      </w:r>
      <w:r w:rsidR="00AD2B3A" w:rsidRPr="00A124BC">
        <w:rPr>
          <w:sz w:val="28"/>
          <w:szCs w:val="28"/>
        </w:rPr>
        <w:t xml:space="preserve"> </w:t>
      </w:r>
      <w:r w:rsidRPr="00A124BC">
        <w:rPr>
          <w:i/>
          <w:color w:val="008000"/>
          <w:sz w:val="28"/>
          <w:szCs w:val="28"/>
        </w:rPr>
        <w:t>Cocoa</w:t>
      </w:r>
    </w:p>
    <w:p w14:paraId="7F4460EB" w14:textId="77777777" w:rsidR="004D2219" w:rsidRDefault="004D2219" w:rsidP="004D2219">
      <w:pPr>
        <w:jc w:val="both"/>
        <w:rPr>
          <w:color w:val="auto"/>
        </w:rPr>
      </w:pPr>
    </w:p>
    <w:p w14:paraId="4BE190AE" w14:textId="3E4A4B56" w:rsidR="00F71CD8" w:rsidRPr="00A124BC" w:rsidRDefault="004D2219" w:rsidP="004D2219">
      <w:pPr>
        <w:jc w:val="both"/>
        <w:rPr>
          <w:sz w:val="23"/>
          <w:szCs w:val="23"/>
        </w:rPr>
      </w:pPr>
      <w:r w:rsidRPr="00A124BC">
        <w:rPr>
          <w:sz w:val="23"/>
          <w:szCs w:val="23"/>
        </w:rPr>
        <w:t xml:space="preserve">With around 280,000 metric tonnes of cocoa beans produced annually in Nigeria, and around 90% of this exported, the sector is particularly vulnerable. Consistently, over the last decade, cocoa has been the top performing non-oil export product in Nigeria. </w:t>
      </w:r>
      <w:r w:rsidR="00F55651" w:rsidRPr="00A124BC">
        <w:rPr>
          <w:sz w:val="23"/>
          <w:szCs w:val="23"/>
        </w:rPr>
        <w:t>Commodity markets have taken a major hit, and this does not apply solely to crude oil. The price of Nigerian cocoa beans stood at US$2880.63/tonne on 03 February 2020</w:t>
      </w:r>
      <w:r w:rsidR="0012454F" w:rsidRPr="00A124BC">
        <w:rPr>
          <w:sz w:val="23"/>
          <w:szCs w:val="23"/>
        </w:rPr>
        <w:t xml:space="preserve"> (source: ITC market price information)</w:t>
      </w:r>
      <w:r w:rsidR="00F55651" w:rsidRPr="00A124BC">
        <w:rPr>
          <w:sz w:val="23"/>
          <w:szCs w:val="23"/>
        </w:rPr>
        <w:t>. It has now fallen to US$2440.94/tonne as of 30 March 2020</w:t>
      </w:r>
      <w:r w:rsidR="0012454F" w:rsidRPr="00A124BC">
        <w:rPr>
          <w:sz w:val="23"/>
          <w:szCs w:val="23"/>
        </w:rPr>
        <w:t xml:space="preserve"> (source: ITC market price information)</w:t>
      </w:r>
      <w:r w:rsidR="0097316D" w:rsidRPr="00A124BC">
        <w:rPr>
          <w:sz w:val="23"/>
          <w:szCs w:val="23"/>
        </w:rPr>
        <w:t>. This is a fall of US$439.69 per</w:t>
      </w:r>
      <w:r w:rsidR="00F55651" w:rsidRPr="00A124BC">
        <w:rPr>
          <w:sz w:val="23"/>
          <w:szCs w:val="23"/>
        </w:rPr>
        <w:t xml:space="preserve"> tonne</w:t>
      </w:r>
      <w:r w:rsidR="002058DC" w:rsidRPr="00A124BC">
        <w:rPr>
          <w:sz w:val="23"/>
          <w:szCs w:val="23"/>
        </w:rPr>
        <w:t>, or 15.3%</w:t>
      </w:r>
      <w:r w:rsidR="00F55651" w:rsidRPr="00A124BC">
        <w:rPr>
          <w:sz w:val="23"/>
          <w:szCs w:val="23"/>
        </w:rPr>
        <w:t>.</w:t>
      </w:r>
      <w:r w:rsidR="00F71CD8" w:rsidRPr="00A124BC">
        <w:rPr>
          <w:sz w:val="23"/>
          <w:szCs w:val="23"/>
        </w:rPr>
        <w:t xml:space="preserve"> This information is presented in figure 1 below. </w:t>
      </w:r>
    </w:p>
    <w:p w14:paraId="2FC3FC9A" w14:textId="77777777" w:rsidR="007F4185" w:rsidRPr="00A124BC" w:rsidRDefault="007F4185" w:rsidP="004D2219">
      <w:pPr>
        <w:jc w:val="both"/>
        <w:rPr>
          <w:sz w:val="23"/>
          <w:szCs w:val="23"/>
        </w:rPr>
      </w:pPr>
    </w:p>
    <w:p w14:paraId="492A2026" w14:textId="1E61F9B1" w:rsidR="00F71CD8" w:rsidRPr="00A124BC" w:rsidRDefault="007F4185" w:rsidP="00E016C7">
      <w:pPr>
        <w:jc w:val="center"/>
        <w:rPr>
          <w:i/>
          <w:sz w:val="23"/>
          <w:szCs w:val="23"/>
        </w:rPr>
      </w:pPr>
      <w:r w:rsidRPr="00A124BC">
        <w:rPr>
          <w:i/>
          <w:sz w:val="23"/>
          <w:szCs w:val="23"/>
        </w:rPr>
        <w:t>Figure 1: International market price Nigerian cocoa beans</w:t>
      </w:r>
    </w:p>
    <w:p w14:paraId="12D7DC1F" w14:textId="136B81DF" w:rsidR="00F71CD8" w:rsidRDefault="00701FC8" w:rsidP="004D2219">
      <w:pPr>
        <w:jc w:val="both"/>
      </w:pPr>
      <w:r>
        <w:rPr>
          <w:noProof/>
          <w:lang w:val="en-US"/>
        </w:rPr>
        <w:drawing>
          <wp:inline distT="0" distB="0" distL="0" distR="0" wp14:anchorId="1C922F64" wp14:editId="5A8A15D9">
            <wp:extent cx="3264535" cy="2847340"/>
            <wp:effectExtent l="0" t="0" r="37465" b="228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7BB528" w14:textId="77777777" w:rsidR="00F71CD8" w:rsidRDefault="00F71CD8" w:rsidP="004D2219">
      <w:pPr>
        <w:jc w:val="both"/>
      </w:pPr>
    </w:p>
    <w:p w14:paraId="3CECB8BA" w14:textId="3B39DE48" w:rsidR="007F4185" w:rsidRPr="00A124BC" w:rsidRDefault="00F55651" w:rsidP="004D2219">
      <w:pPr>
        <w:jc w:val="both"/>
        <w:rPr>
          <w:sz w:val="23"/>
          <w:szCs w:val="23"/>
        </w:rPr>
      </w:pPr>
      <w:r w:rsidRPr="00A124BC">
        <w:rPr>
          <w:sz w:val="23"/>
          <w:szCs w:val="23"/>
        </w:rPr>
        <w:t xml:space="preserve">Assuming production stays the same this year, this translates to a loss </w:t>
      </w:r>
      <w:r w:rsidR="00F63CBF" w:rsidRPr="00A124BC">
        <w:rPr>
          <w:sz w:val="23"/>
          <w:szCs w:val="23"/>
        </w:rPr>
        <w:t xml:space="preserve">in export earnings </w:t>
      </w:r>
      <w:r w:rsidRPr="00A124BC">
        <w:rPr>
          <w:sz w:val="23"/>
          <w:szCs w:val="23"/>
        </w:rPr>
        <w:t>of around US$110.8 million across the year. However,</w:t>
      </w:r>
      <w:r w:rsidR="00F71CD8" w:rsidRPr="00A124BC">
        <w:rPr>
          <w:sz w:val="23"/>
          <w:szCs w:val="23"/>
        </w:rPr>
        <w:t xml:space="preserve"> if the lockdown in Nigeria in </w:t>
      </w:r>
      <w:r w:rsidRPr="00A124BC">
        <w:rPr>
          <w:sz w:val="23"/>
          <w:szCs w:val="23"/>
        </w:rPr>
        <w:t>Lagos, FCT and Ogun state</w:t>
      </w:r>
      <w:r w:rsidR="007F4185" w:rsidRPr="00A124BC">
        <w:rPr>
          <w:sz w:val="23"/>
          <w:szCs w:val="23"/>
        </w:rPr>
        <w:t>,</w:t>
      </w:r>
      <w:r w:rsidRPr="00A124BC">
        <w:rPr>
          <w:sz w:val="23"/>
          <w:szCs w:val="23"/>
        </w:rPr>
        <w:t xml:space="preserve"> spreads to cocoa producing states such as Ondo and Cross river, then production will evidently fall, generating a further loss in foreign exchange.</w:t>
      </w:r>
      <w:r w:rsidR="007F4185" w:rsidRPr="00A124BC">
        <w:rPr>
          <w:sz w:val="23"/>
          <w:szCs w:val="23"/>
        </w:rPr>
        <w:t xml:space="preserve"> Moreover, demand for Nigerian cocoa is at risk of </w:t>
      </w:r>
      <w:r w:rsidR="00F63CBF" w:rsidRPr="00A124BC">
        <w:rPr>
          <w:sz w:val="23"/>
          <w:szCs w:val="23"/>
        </w:rPr>
        <w:t>declining</w:t>
      </w:r>
      <w:r w:rsidR="007F4185" w:rsidRPr="00A124BC">
        <w:rPr>
          <w:sz w:val="23"/>
          <w:szCs w:val="23"/>
        </w:rPr>
        <w:t xml:space="preserve"> further. Europe remains the epicentre of the covid-19 pandemic and over 81% of Nigerian cocoa </w:t>
      </w:r>
      <w:r w:rsidR="00396E87" w:rsidRPr="00A124BC">
        <w:rPr>
          <w:sz w:val="23"/>
          <w:szCs w:val="23"/>
        </w:rPr>
        <w:t xml:space="preserve">was </w:t>
      </w:r>
      <w:r w:rsidR="007F4185" w:rsidRPr="00A124BC">
        <w:rPr>
          <w:sz w:val="23"/>
          <w:szCs w:val="23"/>
        </w:rPr>
        <w:t xml:space="preserve">exported to Europe in 2018, </w:t>
      </w:r>
      <w:r w:rsidR="00986F6C" w:rsidRPr="00A124BC">
        <w:rPr>
          <w:sz w:val="23"/>
          <w:szCs w:val="23"/>
        </w:rPr>
        <w:t xml:space="preserve">with </w:t>
      </w:r>
      <w:r w:rsidR="007F4185" w:rsidRPr="00A124BC">
        <w:rPr>
          <w:sz w:val="23"/>
          <w:szCs w:val="23"/>
        </w:rPr>
        <w:t xml:space="preserve">65% </w:t>
      </w:r>
      <w:r w:rsidR="00986F6C" w:rsidRPr="00A124BC">
        <w:rPr>
          <w:sz w:val="23"/>
          <w:szCs w:val="23"/>
        </w:rPr>
        <w:t xml:space="preserve">going </w:t>
      </w:r>
      <w:r w:rsidR="007F4185" w:rsidRPr="00A124BC">
        <w:rPr>
          <w:sz w:val="23"/>
          <w:szCs w:val="23"/>
        </w:rPr>
        <w:t>to th</w:t>
      </w:r>
      <w:r w:rsidR="00396E87" w:rsidRPr="00A124BC">
        <w:rPr>
          <w:sz w:val="23"/>
          <w:szCs w:val="23"/>
        </w:rPr>
        <w:t>e Netherlands and Germany alone. This lack of</w:t>
      </w:r>
      <w:r w:rsidR="00396E87" w:rsidRPr="00F41906">
        <w:rPr>
          <w:sz w:val="22"/>
        </w:rPr>
        <w:t xml:space="preserve"> </w:t>
      </w:r>
      <w:r w:rsidR="00396E87" w:rsidRPr="00A124BC">
        <w:rPr>
          <w:sz w:val="23"/>
          <w:szCs w:val="23"/>
        </w:rPr>
        <w:t xml:space="preserve">diversified export markets for cocoa puts Nigeria at further </w:t>
      </w:r>
      <w:r w:rsidR="00396E87" w:rsidRPr="00A124BC">
        <w:rPr>
          <w:sz w:val="23"/>
          <w:szCs w:val="23"/>
        </w:rPr>
        <w:t xml:space="preserve">vulnerability, especially as more chocolate manufacturers shut their factories across Europe. </w:t>
      </w:r>
      <w:r w:rsidR="00957109" w:rsidRPr="00A124BC">
        <w:rPr>
          <w:sz w:val="23"/>
          <w:szCs w:val="23"/>
        </w:rPr>
        <w:t>The crisis has therefore earmarked the importance of exploring other potential markets for cocoa. Using the International Trade Centre’s Export Potential tool, NEPC has identified Indonesia, Malaysia, Japan</w:t>
      </w:r>
      <w:r w:rsidR="00C76B19" w:rsidRPr="00A124BC">
        <w:rPr>
          <w:sz w:val="23"/>
          <w:szCs w:val="23"/>
        </w:rPr>
        <w:t>,</w:t>
      </w:r>
      <w:r w:rsidR="00957109" w:rsidRPr="00A124BC">
        <w:rPr>
          <w:sz w:val="23"/>
          <w:szCs w:val="23"/>
        </w:rPr>
        <w:t xml:space="preserve"> and Turkey as major untapped markets for Nigerian cocoa. These four countries imported approximately US$1.75 billion worth of cocoa beans in 2019. However, only </w:t>
      </w:r>
      <w:r w:rsidR="00CF3DDC">
        <w:rPr>
          <w:sz w:val="23"/>
          <w:szCs w:val="23"/>
        </w:rPr>
        <w:t>7.5% (</w:t>
      </w:r>
      <w:r w:rsidR="00957109" w:rsidRPr="00A124BC">
        <w:rPr>
          <w:sz w:val="23"/>
          <w:szCs w:val="23"/>
        </w:rPr>
        <w:t>US$132.5 million</w:t>
      </w:r>
      <w:r w:rsidR="00CF3DDC">
        <w:rPr>
          <w:sz w:val="23"/>
          <w:szCs w:val="23"/>
        </w:rPr>
        <w:t>)</w:t>
      </w:r>
      <w:r w:rsidR="00957109" w:rsidRPr="00A124BC">
        <w:rPr>
          <w:sz w:val="23"/>
          <w:szCs w:val="23"/>
        </w:rPr>
        <w:t xml:space="preserve"> of this was from Nigeria</w:t>
      </w:r>
      <w:r w:rsidR="00C76B19" w:rsidRPr="00A124BC">
        <w:rPr>
          <w:sz w:val="23"/>
          <w:szCs w:val="23"/>
        </w:rPr>
        <w:t>, highlighting the significant untapped potential</w:t>
      </w:r>
      <w:r w:rsidR="00957109" w:rsidRPr="00A124BC">
        <w:rPr>
          <w:sz w:val="23"/>
          <w:szCs w:val="23"/>
        </w:rPr>
        <w:t xml:space="preserve">.  </w:t>
      </w:r>
      <w:r w:rsidRPr="00A124BC">
        <w:rPr>
          <w:sz w:val="23"/>
          <w:szCs w:val="23"/>
        </w:rPr>
        <w:t xml:space="preserve"> </w:t>
      </w:r>
    </w:p>
    <w:p w14:paraId="650F8674" w14:textId="77777777" w:rsidR="007F4185" w:rsidRPr="00A124BC" w:rsidRDefault="007F4185" w:rsidP="004D2219">
      <w:pPr>
        <w:jc w:val="both"/>
        <w:rPr>
          <w:sz w:val="23"/>
          <w:szCs w:val="23"/>
        </w:rPr>
      </w:pPr>
    </w:p>
    <w:p w14:paraId="499D882A" w14:textId="65863A63" w:rsidR="007F4185" w:rsidRPr="00A124BC" w:rsidRDefault="00F55651" w:rsidP="004D2219">
      <w:pPr>
        <w:jc w:val="both"/>
        <w:rPr>
          <w:sz w:val="23"/>
          <w:szCs w:val="23"/>
        </w:rPr>
      </w:pPr>
      <w:r w:rsidRPr="00A124BC">
        <w:rPr>
          <w:sz w:val="23"/>
          <w:szCs w:val="23"/>
        </w:rPr>
        <w:t xml:space="preserve">The silver lining </w:t>
      </w:r>
      <w:r w:rsidR="00C76B19" w:rsidRPr="00A124BC">
        <w:rPr>
          <w:sz w:val="23"/>
          <w:szCs w:val="23"/>
        </w:rPr>
        <w:t xml:space="preserve">to the current crisis for Nigerian cocoa producers, </w:t>
      </w:r>
      <w:r w:rsidRPr="00A124BC">
        <w:rPr>
          <w:sz w:val="23"/>
          <w:szCs w:val="23"/>
        </w:rPr>
        <w:t>is that a potential decline in production</w:t>
      </w:r>
      <w:r w:rsidR="00396E87" w:rsidRPr="00A124BC">
        <w:rPr>
          <w:sz w:val="23"/>
          <w:szCs w:val="23"/>
        </w:rPr>
        <w:t xml:space="preserve"> in West Africa</w:t>
      </w:r>
      <w:r w:rsidRPr="00A124BC">
        <w:rPr>
          <w:sz w:val="23"/>
          <w:szCs w:val="23"/>
        </w:rPr>
        <w:t xml:space="preserve"> will raise the interna</w:t>
      </w:r>
      <w:r w:rsidR="00F63CBF" w:rsidRPr="00A124BC">
        <w:rPr>
          <w:sz w:val="23"/>
          <w:szCs w:val="23"/>
        </w:rPr>
        <w:t>tional commodity price of cocoa. Y</w:t>
      </w:r>
      <w:r w:rsidRPr="00A124BC">
        <w:rPr>
          <w:sz w:val="23"/>
          <w:szCs w:val="23"/>
        </w:rPr>
        <w:t>et</w:t>
      </w:r>
      <w:r w:rsidR="00F63CBF" w:rsidRPr="00A124BC">
        <w:rPr>
          <w:sz w:val="23"/>
          <w:szCs w:val="23"/>
        </w:rPr>
        <w:t>,</w:t>
      </w:r>
      <w:r w:rsidRPr="00A124BC">
        <w:rPr>
          <w:sz w:val="23"/>
          <w:szCs w:val="23"/>
        </w:rPr>
        <w:t xml:space="preserve"> this depends a lot on the picture in Côte d’Ivoire and Ghana, whose production levels are far higher.</w:t>
      </w:r>
      <w:r w:rsidR="007F4185" w:rsidRPr="00A124BC">
        <w:rPr>
          <w:sz w:val="23"/>
          <w:szCs w:val="23"/>
        </w:rPr>
        <w:t xml:space="preserve"> </w:t>
      </w:r>
    </w:p>
    <w:p w14:paraId="5D6C494B" w14:textId="77777777" w:rsidR="007F4185" w:rsidRDefault="007F4185" w:rsidP="004D2219">
      <w:pPr>
        <w:jc w:val="both"/>
      </w:pPr>
    </w:p>
    <w:p w14:paraId="13675649" w14:textId="3CA1B263" w:rsidR="00DD6415" w:rsidRPr="00A124BC" w:rsidRDefault="00F55651" w:rsidP="004D2219">
      <w:pPr>
        <w:jc w:val="both"/>
        <w:rPr>
          <w:sz w:val="28"/>
          <w:szCs w:val="28"/>
        </w:rPr>
      </w:pPr>
      <w:r w:rsidRPr="00A124BC">
        <w:rPr>
          <w:sz w:val="28"/>
          <w:szCs w:val="28"/>
        </w:rPr>
        <w:t xml:space="preserve">    </w:t>
      </w:r>
      <w:r w:rsidR="004D2219" w:rsidRPr="00A124BC">
        <w:rPr>
          <w:sz w:val="28"/>
          <w:szCs w:val="28"/>
        </w:rPr>
        <w:t xml:space="preserve"> </w:t>
      </w:r>
      <w:r w:rsidR="00AD2B3A" w:rsidRPr="00A124BC">
        <w:rPr>
          <w:color w:val="008000"/>
          <w:sz w:val="28"/>
          <w:szCs w:val="28"/>
        </w:rPr>
        <w:t>b)</w:t>
      </w:r>
      <w:r w:rsidR="00AD2B3A" w:rsidRPr="00A124BC">
        <w:rPr>
          <w:sz w:val="28"/>
          <w:szCs w:val="28"/>
        </w:rPr>
        <w:t xml:space="preserve"> </w:t>
      </w:r>
      <w:r w:rsidR="00396E87" w:rsidRPr="00A124BC">
        <w:rPr>
          <w:i/>
          <w:color w:val="008000"/>
          <w:sz w:val="28"/>
          <w:szCs w:val="28"/>
        </w:rPr>
        <w:t>Sesame</w:t>
      </w:r>
    </w:p>
    <w:p w14:paraId="64BDF361" w14:textId="4EEBB8B9" w:rsidR="00DD6415" w:rsidRDefault="00DD6415" w:rsidP="00DD6415">
      <w:pPr>
        <w:rPr>
          <w:rFonts w:ascii="Arial" w:eastAsia="Times New Roman" w:hAnsi="Arial" w:cs="Arial"/>
          <w:szCs w:val="20"/>
        </w:rPr>
      </w:pPr>
    </w:p>
    <w:p w14:paraId="222FB1CC" w14:textId="358F53ED" w:rsidR="006A0B5A" w:rsidRPr="00A124BC" w:rsidRDefault="00091084" w:rsidP="00EA1790">
      <w:pPr>
        <w:jc w:val="both"/>
        <w:rPr>
          <w:rFonts w:ascii="Arial" w:eastAsia="Times New Roman" w:hAnsi="Arial" w:cs="Arial"/>
          <w:sz w:val="23"/>
          <w:szCs w:val="23"/>
        </w:rPr>
      </w:pPr>
      <w:r w:rsidRPr="00A124BC">
        <w:rPr>
          <w:rFonts w:ascii="Arial" w:eastAsia="Times New Roman" w:hAnsi="Arial" w:cs="Arial"/>
          <w:sz w:val="23"/>
          <w:szCs w:val="23"/>
        </w:rPr>
        <w:t>Sesame exports have been one of the fastest growi</w:t>
      </w:r>
      <w:r w:rsidR="00F63CBF" w:rsidRPr="00A124BC">
        <w:rPr>
          <w:rFonts w:ascii="Arial" w:eastAsia="Times New Roman" w:hAnsi="Arial" w:cs="Arial"/>
          <w:sz w:val="23"/>
          <w:szCs w:val="23"/>
        </w:rPr>
        <w:t>ng non-oil exports in the last five</w:t>
      </w:r>
      <w:r w:rsidRPr="00A124BC">
        <w:rPr>
          <w:rFonts w:ascii="Arial" w:eastAsia="Times New Roman" w:hAnsi="Arial" w:cs="Arial"/>
          <w:sz w:val="23"/>
          <w:szCs w:val="23"/>
        </w:rPr>
        <w:t xml:space="preserve"> years, rising by 170% since 2016. In 2019, the value of sesame exports stood at </w:t>
      </w:r>
      <w:r w:rsidR="00F63CBF" w:rsidRPr="00A124BC">
        <w:rPr>
          <w:rFonts w:ascii="Arial" w:eastAsia="Times New Roman" w:hAnsi="Arial" w:cs="Arial"/>
          <w:sz w:val="23"/>
          <w:szCs w:val="23"/>
        </w:rPr>
        <w:t>US</w:t>
      </w:r>
      <w:r w:rsidRPr="00A124BC">
        <w:rPr>
          <w:rFonts w:ascii="Arial" w:eastAsia="Times New Roman" w:hAnsi="Arial" w:cs="Arial"/>
          <w:sz w:val="23"/>
          <w:szCs w:val="23"/>
        </w:rPr>
        <w:t xml:space="preserve">$289 million, compared to </w:t>
      </w:r>
      <w:r w:rsidR="00F63CBF" w:rsidRPr="00A124BC">
        <w:rPr>
          <w:rFonts w:ascii="Arial" w:eastAsia="Times New Roman" w:hAnsi="Arial" w:cs="Arial"/>
          <w:sz w:val="23"/>
          <w:szCs w:val="23"/>
        </w:rPr>
        <w:t>US</w:t>
      </w:r>
      <w:r w:rsidRPr="00A124BC">
        <w:rPr>
          <w:rFonts w:ascii="Arial" w:eastAsia="Times New Roman" w:hAnsi="Arial" w:cs="Arial"/>
          <w:sz w:val="23"/>
          <w:szCs w:val="23"/>
        </w:rPr>
        <w:t xml:space="preserve">$107 million in 2016. However, this growing trend is at risk following the outbreak of covid-19.  </w:t>
      </w:r>
    </w:p>
    <w:p w14:paraId="071ABDE9" w14:textId="77777777" w:rsidR="006A0B5A" w:rsidRPr="00A124BC" w:rsidRDefault="006A0B5A" w:rsidP="00EA1790">
      <w:pPr>
        <w:jc w:val="both"/>
        <w:rPr>
          <w:rFonts w:ascii="Arial" w:eastAsia="Times New Roman" w:hAnsi="Arial" w:cs="Arial"/>
          <w:sz w:val="23"/>
          <w:szCs w:val="23"/>
        </w:rPr>
      </w:pPr>
    </w:p>
    <w:p w14:paraId="0270EE0E" w14:textId="7B3A0E29" w:rsidR="0097316D" w:rsidRPr="00A124BC" w:rsidRDefault="006A0B5A" w:rsidP="00EA1790">
      <w:pPr>
        <w:jc w:val="both"/>
        <w:rPr>
          <w:rFonts w:ascii="Arial" w:eastAsia="Times New Roman" w:hAnsi="Arial" w:cs="Arial"/>
          <w:sz w:val="23"/>
          <w:szCs w:val="23"/>
        </w:rPr>
      </w:pPr>
      <w:r w:rsidRPr="00A124BC">
        <w:rPr>
          <w:rFonts w:ascii="Arial" w:eastAsia="Times New Roman" w:hAnsi="Arial" w:cs="Arial"/>
          <w:sz w:val="23"/>
          <w:szCs w:val="23"/>
        </w:rPr>
        <w:t>The price change for Nigerian sesame seed has not proved as drastic as cocoa. In fact, since the start of February</w:t>
      </w:r>
      <w:r w:rsidR="00F63CBF" w:rsidRPr="00A124BC">
        <w:rPr>
          <w:rFonts w:ascii="Arial" w:eastAsia="Times New Roman" w:hAnsi="Arial" w:cs="Arial"/>
          <w:sz w:val="23"/>
          <w:szCs w:val="23"/>
        </w:rPr>
        <w:t xml:space="preserve"> 2020</w:t>
      </w:r>
      <w:r w:rsidR="0097316D" w:rsidRPr="00A124BC">
        <w:rPr>
          <w:rFonts w:ascii="Arial" w:eastAsia="Times New Roman" w:hAnsi="Arial" w:cs="Arial"/>
          <w:sz w:val="23"/>
          <w:szCs w:val="23"/>
        </w:rPr>
        <w:t>, t</w:t>
      </w:r>
      <w:r w:rsidR="00184436" w:rsidRPr="00A124BC">
        <w:rPr>
          <w:rFonts w:ascii="Arial" w:eastAsia="Times New Roman" w:hAnsi="Arial" w:cs="Arial"/>
          <w:sz w:val="23"/>
          <w:szCs w:val="23"/>
        </w:rPr>
        <w:t>he price has fallen by only US$60 per tonne</w:t>
      </w:r>
      <w:r w:rsidR="002058DC" w:rsidRPr="00A124BC">
        <w:rPr>
          <w:rFonts w:ascii="Arial" w:eastAsia="Times New Roman" w:hAnsi="Arial" w:cs="Arial"/>
          <w:sz w:val="23"/>
          <w:szCs w:val="23"/>
        </w:rPr>
        <w:t xml:space="preserve"> (i.e. 4.7%)</w:t>
      </w:r>
      <w:r w:rsidR="00184436" w:rsidRPr="00A124BC">
        <w:rPr>
          <w:rFonts w:ascii="Arial" w:eastAsia="Times New Roman" w:hAnsi="Arial" w:cs="Arial"/>
          <w:sz w:val="23"/>
          <w:szCs w:val="23"/>
        </w:rPr>
        <w:t xml:space="preserve"> from US$127</w:t>
      </w:r>
      <w:r w:rsidR="0097316D" w:rsidRPr="00A124BC">
        <w:rPr>
          <w:rFonts w:ascii="Arial" w:eastAsia="Times New Roman" w:hAnsi="Arial" w:cs="Arial"/>
          <w:sz w:val="23"/>
          <w:szCs w:val="23"/>
        </w:rPr>
        <w:t xml:space="preserve">0/tonne to US$1210/tonne (source: ITC market price information). This information is presented in figure 2 below. </w:t>
      </w:r>
    </w:p>
    <w:p w14:paraId="7D9E8652" w14:textId="77777777" w:rsidR="0097316D" w:rsidRPr="00A124BC" w:rsidRDefault="0097316D" w:rsidP="00EA1790">
      <w:pPr>
        <w:jc w:val="both"/>
        <w:rPr>
          <w:rFonts w:ascii="Arial" w:eastAsia="Times New Roman" w:hAnsi="Arial" w:cs="Arial"/>
          <w:sz w:val="23"/>
          <w:szCs w:val="23"/>
        </w:rPr>
      </w:pPr>
    </w:p>
    <w:p w14:paraId="4EF319FD" w14:textId="44175DA4" w:rsidR="0039460F" w:rsidRPr="00A124BC" w:rsidRDefault="0097316D" w:rsidP="00E016C7">
      <w:pPr>
        <w:jc w:val="center"/>
        <w:rPr>
          <w:rFonts w:ascii="Arial" w:eastAsia="Times New Roman" w:hAnsi="Arial" w:cs="Arial"/>
          <w:i/>
          <w:sz w:val="23"/>
          <w:szCs w:val="23"/>
        </w:rPr>
      </w:pPr>
      <w:r w:rsidRPr="00A124BC">
        <w:rPr>
          <w:rFonts w:ascii="Arial" w:eastAsia="Times New Roman" w:hAnsi="Arial" w:cs="Arial"/>
          <w:i/>
          <w:sz w:val="23"/>
          <w:szCs w:val="23"/>
        </w:rPr>
        <w:t>Figure 2: International market price Nigerian sesame seed</w:t>
      </w:r>
    </w:p>
    <w:p w14:paraId="5941765E" w14:textId="0F745A6C" w:rsidR="00396E87" w:rsidRPr="00BC1A49" w:rsidRDefault="00E016C7" w:rsidP="00DD6415">
      <w:pPr>
        <w:rPr>
          <w:rFonts w:ascii="Arial" w:eastAsia="Times New Roman" w:hAnsi="Arial" w:cs="Arial"/>
          <w:szCs w:val="20"/>
        </w:rPr>
      </w:pPr>
      <w:r>
        <w:rPr>
          <w:noProof/>
          <w:lang w:val="en-US"/>
        </w:rPr>
        <w:drawing>
          <wp:inline distT="0" distB="0" distL="0" distR="0" wp14:anchorId="7DBD9AB3" wp14:editId="4AE816BA">
            <wp:extent cx="3035935" cy="2072640"/>
            <wp:effectExtent l="0" t="0" r="37465" b="355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091084">
        <w:rPr>
          <w:rFonts w:ascii="Arial" w:eastAsia="Times New Roman" w:hAnsi="Arial" w:cs="Arial"/>
          <w:szCs w:val="20"/>
        </w:rPr>
        <w:t xml:space="preserve"> </w:t>
      </w:r>
    </w:p>
    <w:p w14:paraId="4C8044E0" w14:textId="345D45CD" w:rsidR="00184436" w:rsidRPr="00A124BC" w:rsidRDefault="00184436" w:rsidP="00E9341E">
      <w:pPr>
        <w:jc w:val="both"/>
        <w:rPr>
          <w:rFonts w:ascii="Arial" w:eastAsia="Times New Roman" w:hAnsi="Arial" w:cs="Arial"/>
          <w:sz w:val="23"/>
          <w:szCs w:val="23"/>
        </w:rPr>
      </w:pPr>
      <w:r w:rsidRPr="00A124BC">
        <w:rPr>
          <w:rFonts w:ascii="Arial" w:eastAsia="Times New Roman" w:hAnsi="Arial" w:cs="Arial"/>
          <w:sz w:val="23"/>
          <w:szCs w:val="23"/>
        </w:rPr>
        <w:lastRenderedPageBreak/>
        <w:t>P</w:t>
      </w:r>
      <w:r w:rsidR="0097316D" w:rsidRPr="00A124BC">
        <w:rPr>
          <w:rFonts w:ascii="Arial" w:eastAsia="Times New Roman" w:hAnsi="Arial" w:cs="Arial"/>
          <w:sz w:val="23"/>
          <w:szCs w:val="23"/>
        </w:rPr>
        <w:t xml:space="preserve">roduction </w:t>
      </w:r>
      <w:r w:rsidRPr="00A124BC">
        <w:rPr>
          <w:rFonts w:ascii="Arial" w:eastAsia="Times New Roman" w:hAnsi="Arial" w:cs="Arial"/>
          <w:sz w:val="23"/>
          <w:szCs w:val="23"/>
        </w:rPr>
        <w:t xml:space="preserve">for sesame seed is </w:t>
      </w:r>
      <w:r w:rsidR="0097316D" w:rsidRPr="00A124BC">
        <w:rPr>
          <w:rFonts w:ascii="Arial" w:eastAsia="Times New Roman" w:hAnsi="Arial" w:cs="Arial"/>
          <w:sz w:val="23"/>
          <w:szCs w:val="23"/>
        </w:rPr>
        <w:t>estimated to</w:t>
      </w:r>
      <w:r w:rsidR="00F63CBF" w:rsidRPr="00A124BC">
        <w:rPr>
          <w:rFonts w:ascii="Arial" w:eastAsia="Times New Roman" w:hAnsi="Arial" w:cs="Arial"/>
          <w:sz w:val="23"/>
          <w:szCs w:val="23"/>
        </w:rPr>
        <w:t xml:space="preserve"> be around 250,000 metric tonne</w:t>
      </w:r>
      <w:r w:rsidR="0097316D" w:rsidRPr="00A124BC">
        <w:rPr>
          <w:rFonts w:ascii="Arial" w:eastAsia="Times New Roman" w:hAnsi="Arial" w:cs="Arial"/>
          <w:sz w:val="23"/>
          <w:szCs w:val="23"/>
        </w:rPr>
        <w:t>s annually</w:t>
      </w:r>
      <w:r w:rsidRPr="00A124BC">
        <w:rPr>
          <w:rFonts w:ascii="Arial" w:eastAsia="Times New Roman" w:hAnsi="Arial" w:cs="Arial"/>
          <w:sz w:val="23"/>
          <w:szCs w:val="23"/>
        </w:rPr>
        <w:t>, and approximately 70% is exported. Assuming the price of sesame does not drop further, the current fall would translate to a loss of around US$10.5</w:t>
      </w:r>
      <w:r w:rsidR="00F63CBF" w:rsidRPr="00A124BC">
        <w:rPr>
          <w:rFonts w:ascii="Arial" w:eastAsia="Times New Roman" w:hAnsi="Arial" w:cs="Arial"/>
          <w:sz w:val="23"/>
          <w:szCs w:val="23"/>
        </w:rPr>
        <w:t xml:space="preserve"> million</w:t>
      </w:r>
      <w:r w:rsidRPr="00A124BC">
        <w:rPr>
          <w:rFonts w:ascii="Arial" w:eastAsia="Times New Roman" w:hAnsi="Arial" w:cs="Arial"/>
          <w:sz w:val="23"/>
          <w:szCs w:val="23"/>
        </w:rPr>
        <w:t xml:space="preserve"> in foreign exchange earnings across the year, significantly smaller than the predicted drop in earnings for cocoa.</w:t>
      </w:r>
    </w:p>
    <w:p w14:paraId="5C36643D" w14:textId="77777777" w:rsidR="00184436" w:rsidRPr="00A124BC" w:rsidRDefault="00184436" w:rsidP="00E9341E">
      <w:pPr>
        <w:jc w:val="both"/>
        <w:rPr>
          <w:rFonts w:ascii="Arial" w:eastAsia="Times New Roman" w:hAnsi="Arial" w:cs="Arial"/>
          <w:sz w:val="23"/>
          <w:szCs w:val="23"/>
        </w:rPr>
      </w:pPr>
    </w:p>
    <w:p w14:paraId="230F1F05" w14:textId="6D003970" w:rsidR="00027FBB" w:rsidRPr="00A124BC" w:rsidRDefault="00184436" w:rsidP="00E9341E">
      <w:pPr>
        <w:jc w:val="both"/>
        <w:rPr>
          <w:rFonts w:ascii="Arial" w:eastAsia="Times New Roman" w:hAnsi="Arial" w:cs="Arial"/>
          <w:sz w:val="23"/>
          <w:szCs w:val="23"/>
        </w:rPr>
      </w:pPr>
      <w:r w:rsidRPr="00A124BC">
        <w:rPr>
          <w:rFonts w:ascii="Arial" w:eastAsia="Times New Roman" w:hAnsi="Arial" w:cs="Arial"/>
          <w:sz w:val="23"/>
          <w:szCs w:val="23"/>
        </w:rPr>
        <w:t xml:space="preserve">Besides the relatively small drop in price, there are other reasons to be positive that the sesame industry in Nigeria is strong enough to withstand the pressures from the covid-19 pandemic. The export markets for Nigerian sesame seed are relatively diversified, with Nigeria exporting over US$10 million </w:t>
      </w:r>
      <w:r w:rsidR="00F63CBF" w:rsidRPr="00A124BC">
        <w:rPr>
          <w:rFonts w:ascii="Arial" w:eastAsia="Times New Roman" w:hAnsi="Arial" w:cs="Arial"/>
          <w:sz w:val="23"/>
          <w:szCs w:val="23"/>
        </w:rPr>
        <w:t>worth of sesame to seven</w:t>
      </w:r>
      <w:r w:rsidRPr="00A124BC">
        <w:rPr>
          <w:rFonts w:ascii="Arial" w:eastAsia="Times New Roman" w:hAnsi="Arial" w:cs="Arial"/>
          <w:sz w:val="23"/>
          <w:szCs w:val="23"/>
        </w:rPr>
        <w:t xml:space="preserve"> countries in 2019. Moreover, the </w:t>
      </w:r>
      <w:r w:rsidR="00027FBB" w:rsidRPr="00A124BC">
        <w:rPr>
          <w:rFonts w:ascii="Arial" w:eastAsia="Times New Roman" w:hAnsi="Arial" w:cs="Arial"/>
          <w:sz w:val="23"/>
          <w:szCs w:val="23"/>
        </w:rPr>
        <w:t xml:space="preserve">pandemic has not reached the same levels seen in Europe in the </w:t>
      </w:r>
      <w:r w:rsidRPr="00A124BC">
        <w:rPr>
          <w:rFonts w:ascii="Arial" w:eastAsia="Times New Roman" w:hAnsi="Arial" w:cs="Arial"/>
          <w:sz w:val="23"/>
          <w:szCs w:val="23"/>
        </w:rPr>
        <w:t>top three</w:t>
      </w:r>
      <w:r w:rsidR="00027FBB" w:rsidRPr="00A124BC">
        <w:rPr>
          <w:rFonts w:ascii="Arial" w:eastAsia="Times New Roman" w:hAnsi="Arial" w:cs="Arial"/>
          <w:sz w:val="23"/>
          <w:szCs w:val="23"/>
        </w:rPr>
        <w:t xml:space="preserve"> export destinations, Japan, Turkey</w:t>
      </w:r>
      <w:r w:rsidR="00104D9B">
        <w:rPr>
          <w:rFonts w:ascii="Arial" w:eastAsia="Times New Roman" w:hAnsi="Arial" w:cs="Arial"/>
          <w:sz w:val="23"/>
          <w:szCs w:val="23"/>
        </w:rPr>
        <w:t>,</w:t>
      </w:r>
      <w:r w:rsidR="00027FBB" w:rsidRPr="00A124BC">
        <w:rPr>
          <w:rFonts w:ascii="Arial" w:eastAsia="Times New Roman" w:hAnsi="Arial" w:cs="Arial"/>
          <w:sz w:val="23"/>
          <w:szCs w:val="23"/>
        </w:rPr>
        <w:t xml:space="preserve"> and China. This gives hope that demand will not fall significantly.</w:t>
      </w:r>
      <w:r w:rsidR="008500DA" w:rsidRPr="00A124BC">
        <w:rPr>
          <w:rFonts w:ascii="Arial" w:eastAsia="Times New Roman" w:hAnsi="Arial" w:cs="Arial"/>
          <w:sz w:val="23"/>
          <w:szCs w:val="23"/>
        </w:rPr>
        <w:t xml:space="preserve"> On top of this, the five main producing states of sesame in Nigeria, </w:t>
      </w:r>
      <w:proofErr w:type="spellStart"/>
      <w:r w:rsidR="008500DA" w:rsidRPr="00A124BC">
        <w:rPr>
          <w:rFonts w:ascii="Arial" w:eastAsia="Times New Roman" w:hAnsi="Arial" w:cs="Arial"/>
          <w:sz w:val="23"/>
          <w:szCs w:val="23"/>
        </w:rPr>
        <w:t>Nassarawa</w:t>
      </w:r>
      <w:proofErr w:type="spellEnd"/>
      <w:r w:rsidR="008500DA" w:rsidRPr="00A124BC">
        <w:rPr>
          <w:rFonts w:ascii="Arial" w:eastAsia="Times New Roman" w:hAnsi="Arial" w:cs="Arial"/>
          <w:sz w:val="23"/>
          <w:szCs w:val="23"/>
        </w:rPr>
        <w:t xml:space="preserve">, Benue, Kebbi, Taraba, and Jigawa, currently only have one positive covid-19 case between them. If the spread of the virus continues to be prevented in these states, then production is likely to remain high.    </w:t>
      </w:r>
      <w:r w:rsidR="00027FBB" w:rsidRPr="00A124BC">
        <w:rPr>
          <w:rFonts w:ascii="Arial" w:eastAsia="Times New Roman" w:hAnsi="Arial" w:cs="Arial"/>
          <w:sz w:val="23"/>
          <w:szCs w:val="23"/>
        </w:rPr>
        <w:t xml:space="preserve"> </w:t>
      </w:r>
    </w:p>
    <w:p w14:paraId="434D24B3" w14:textId="77777777" w:rsidR="00027FBB" w:rsidRPr="006C39CA" w:rsidRDefault="00027FBB" w:rsidP="00E9341E">
      <w:pPr>
        <w:jc w:val="both"/>
        <w:rPr>
          <w:rFonts w:ascii="Arial" w:eastAsia="Times New Roman" w:hAnsi="Arial" w:cs="Arial"/>
          <w:sz w:val="24"/>
          <w:szCs w:val="24"/>
        </w:rPr>
      </w:pPr>
    </w:p>
    <w:p w14:paraId="5C47D59A" w14:textId="22454234" w:rsidR="00E358DB" w:rsidRPr="00A124BC" w:rsidRDefault="00027FBB" w:rsidP="00E9341E">
      <w:pPr>
        <w:jc w:val="both"/>
        <w:rPr>
          <w:rFonts w:asciiTheme="majorHAnsi" w:hAnsiTheme="majorHAnsi" w:cstheme="majorHAnsi"/>
          <w:b/>
          <w:bCs/>
          <w:sz w:val="28"/>
          <w:szCs w:val="28"/>
        </w:rPr>
      </w:pPr>
      <w:r w:rsidRPr="00A124BC">
        <w:rPr>
          <w:rFonts w:asciiTheme="majorHAnsi" w:eastAsia="Times New Roman" w:hAnsiTheme="majorHAnsi" w:cstheme="majorHAnsi"/>
          <w:sz w:val="28"/>
          <w:szCs w:val="28"/>
        </w:rPr>
        <w:t xml:space="preserve">  </w:t>
      </w:r>
      <w:r w:rsidR="00184436" w:rsidRPr="00A124BC">
        <w:rPr>
          <w:rFonts w:asciiTheme="majorHAnsi" w:eastAsia="Times New Roman" w:hAnsiTheme="majorHAnsi" w:cstheme="majorHAnsi"/>
          <w:sz w:val="28"/>
          <w:szCs w:val="28"/>
        </w:rPr>
        <w:t xml:space="preserve">    </w:t>
      </w:r>
      <w:r w:rsidR="0097316D" w:rsidRPr="00A124BC">
        <w:rPr>
          <w:rFonts w:asciiTheme="majorHAnsi" w:eastAsia="Times New Roman" w:hAnsiTheme="majorHAnsi" w:cstheme="majorHAnsi"/>
          <w:sz w:val="28"/>
          <w:szCs w:val="28"/>
        </w:rPr>
        <w:t xml:space="preserve"> </w:t>
      </w:r>
      <w:r w:rsidR="00AD2B3A" w:rsidRPr="00A124BC">
        <w:rPr>
          <w:rFonts w:asciiTheme="majorHAnsi" w:eastAsia="Times New Roman" w:hAnsiTheme="majorHAnsi" w:cstheme="majorHAnsi"/>
          <w:color w:val="008000"/>
          <w:sz w:val="28"/>
          <w:szCs w:val="28"/>
        </w:rPr>
        <w:t>c)</w:t>
      </w:r>
      <w:r w:rsidR="00AD2B3A" w:rsidRPr="00A124BC">
        <w:rPr>
          <w:rFonts w:asciiTheme="majorHAnsi" w:eastAsia="Times New Roman" w:hAnsiTheme="majorHAnsi" w:cstheme="majorHAnsi"/>
          <w:sz w:val="28"/>
          <w:szCs w:val="28"/>
        </w:rPr>
        <w:t xml:space="preserve"> </w:t>
      </w:r>
      <w:r w:rsidR="008500DA" w:rsidRPr="00A124BC">
        <w:rPr>
          <w:rFonts w:asciiTheme="majorHAnsi" w:hAnsiTheme="majorHAnsi" w:cstheme="majorHAnsi"/>
          <w:i/>
          <w:color w:val="008000"/>
          <w:sz w:val="28"/>
          <w:szCs w:val="28"/>
        </w:rPr>
        <w:t>Cashew</w:t>
      </w:r>
    </w:p>
    <w:p w14:paraId="66C8F15E" w14:textId="77777777" w:rsidR="00E358DB" w:rsidRDefault="00E358DB" w:rsidP="00E9341E">
      <w:pPr>
        <w:jc w:val="both"/>
        <w:rPr>
          <w:rFonts w:ascii="Arial" w:hAnsi="Arial" w:cs="Arial"/>
          <w:b/>
          <w:bCs/>
        </w:rPr>
      </w:pPr>
    </w:p>
    <w:p w14:paraId="230DFF4D" w14:textId="0EEB2DC9" w:rsidR="00A30351" w:rsidRPr="00A124BC" w:rsidRDefault="0000747C" w:rsidP="00E9341E">
      <w:pPr>
        <w:jc w:val="both"/>
        <w:rPr>
          <w:rFonts w:ascii="Arial" w:hAnsi="Arial" w:cs="Arial"/>
          <w:sz w:val="23"/>
          <w:szCs w:val="23"/>
        </w:rPr>
      </w:pPr>
      <w:r w:rsidRPr="00A124BC">
        <w:rPr>
          <w:rFonts w:ascii="Arial" w:hAnsi="Arial" w:cs="Arial"/>
          <w:sz w:val="23"/>
          <w:szCs w:val="23"/>
        </w:rPr>
        <w:t xml:space="preserve">Cashew exports have been steadily rising as NEPC has targeted scaling up production in Nigeria. Production is now </w:t>
      </w:r>
      <w:r w:rsidR="0039460F" w:rsidRPr="00A124BC">
        <w:rPr>
          <w:rFonts w:ascii="Arial" w:hAnsi="Arial" w:cs="Arial"/>
          <w:sz w:val="23"/>
          <w:szCs w:val="23"/>
        </w:rPr>
        <w:t>around 3</w:t>
      </w:r>
      <w:r w:rsidRPr="00A124BC">
        <w:rPr>
          <w:rFonts w:ascii="Arial" w:hAnsi="Arial" w:cs="Arial"/>
          <w:sz w:val="23"/>
          <w:szCs w:val="23"/>
        </w:rPr>
        <w:t xml:space="preserve">00,000 metric tonnes, with semi-processing plants common around the country. </w:t>
      </w:r>
      <w:r w:rsidR="00496475" w:rsidRPr="00A124BC">
        <w:rPr>
          <w:rFonts w:ascii="Arial" w:hAnsi="Arial" w:cs="Arial"/>
          <w:sz w:val="23"/>
          <w:szCs w:val="23"/>
        </w:rPr>
        <w:t>However, as of 2018, 90.5% of cashew exports were still raw cashew nuts, accounting for over US$162 million. For both the raw and semi-processed cashew, the exports go almost entirely to Viet Nam and India. This puts Nigeria at major risk should these two countries choose to limit their imports of raw and semi-processed cashew, due to fears over falling demand for the final product. Indeed, the Standing Committee of the Viet Nam Cashew Association (</w:t>
      </w:r>
      <w:proofErr w:type="spellStart"/>
      <w:r w:rsidR="00496475" w:rsidRPr="00A124BC">
        <w:rPr>
          <w:rFonts w:ascii="Arial" w:hAnsi="Arial" w:cs="Arial"/>
          <w:sz w:val="23"/>
          <w:szCs w:val="23"/>
        </w:rPr>
        <w:t>Vinacas</w:t>
      </w:r>
      <w:proofErr w:type="spellEnd"/>
      <w:r w:rsidR="00496475" w:rsidRPr="00A124BC">
        <w:rPr>
          <w:rFonts w:ascii="Arial" w:hAnsi="Arial" w:cs="Arial"/>
          <w:sz w:val="23"/>
          <w:szCs w:val="23"/>
        </w:rPr>
        <w:t xml:space="preserve">) has warned enterprises in the country to carefully consider before buying raw cashew from West Africa due to implications of the pandemic. </w:t>
      </w:r>
    </w:p>
    <w:p w14:paraId="22794490" w14:textId="77777777" w:rsidR="00496475" w:rsidRPr="00A124BC" w:rsidRDefault="00496475" w:rsidP="00E9341E">
      <w:pPr>
        <w:jc w:val="both"/>
        <w:rPr>
          <w:rFonts w:ascii="Arial" w:hAnsi="Arial" w:cs="Arial"/>
          <w:sz w:val="23"/>
          <w:szCs w:val="23"/>
        </w:rPr>
      </w:pPr>
    </w:p>
    <w:p w14:paraId="0C2C6A52" w14:textId="5647FD2E" w:rsidR="00496475" w:rsidRPr="00A124BC" w:rsidRDefault="00496475" w:rsidP="00E9341E">
      <w:pPr>
        <w:jc w:val="both"/>
        <w:rPr>
          <w:rFonts w:ascii="Arial" w:hAnsi="Arial" w:cs="Arial"/>
          <w:sz w:val="23"/>
          <w:szCs w:val="23"/>
        </w:rPr>
      </w:pPr>
      <w:r w:rsidRPr="00A124BC">
        <w:rPr>
          <w:rFonts w:ascii="Arial" w:hAnsi="Arial" w:cs="Arial"/>
          <w:sz w:val="23"/>
          <w:szCs w:val="23"/>
        </w:rPr>
        <w:t>This has translated in a steady decline in the price of Nigerian raw cashew since mid-</w:t>
      </w:r>
      <w:r w:rsidRPr="00A124BC">
        <w:rPr>
          <w:rFonts w:ascii="Arial" w:hAnsi="Arial" w:cs="Arial"/>
          <w:sz w:val="23"/>
          <w:szCs w:val="23"/>
        </w:rPr>
        <w:t>February from</w:t>
      </w:r>
      <w:r w:rsidR="00A124BC">
        <w:rPr>
          <w:rFonts w:ascii="Arial" w:hAnsi="Arial" w:cs="Arial"/>
          <w:sz w:val="22"/>
        </w:rPr>
        <w:t xml:space="preserve"> </w:t>
      </w:r>
      <w:r w:rsidRPr="00A124BC">
        <w:rPr>
          <w:rFonts w:ascii="Arial" w:hAnsi="Arial" w:cs="Arial"/>
          <w:sz w:val="23"/>
          <w:szCs w:val="23"/>
        </w:rPr>
        <w:t>US$1375/tonne to US$1050/t</w:t>
      </w:r>
      <w:r w:rsidR="006C39CA" w:rsidRPr="00A124BC">
        <w:rPr>
          <w:rFonts w:ascii="Arial" w:hAnsi="Arial" w:cs="Arial"/>
          <w:sz w:val="23"/>
          <w:szCs w:val="23"/>
        </w:rPr>
        <w:t>onne, as shown in figure 3</w:t>
      </w:r>
      <w:r w:rsidRPr="00A124BC">
        <w:rPr>
          <w:rFonts w:ascii="Arial" w:hAnsi="Arial" w:cs="Arial"/>
          <w:sz w:val="23"/>
          <w:szCs w:val="23"/>
        </w:rPr>
        <w:t xml:space="preserve">. </w:t>
      </w:r>
    </w:p>
    <w:p w14:paraId="6A0E386C" w14:textId="77777777" w:rsidR="006C39CA" w:rsidRPr="00A124BC" w:rsidRDefault="006C39CA" w:rsidP="00E9341E">
      <w:pPr>
        <w:jc w:val="both"/>
        <w:rPr>
          <w:rFonts w:ascii="Arial" w:hAnsi="Arial" w:cs="Arial"/>
          <w:sz w:val="23"/>
          <w:szCs w:val="23"/>
        </w:rPr>
      </w:pPr>
    </w:p>
    <w:p w14:paraId="580BE690" w14:textId="2FB4BF30" w:rsidR="00496475" w:rsidRPr="00A124BC" w:rsidRDefault="00496475" w:rsidP="00E016C7">
      <w:pPr>
        <w:jc w:val="center"/>
        <w:rPr>
          <w:rFonts w:ascii="Arial" w:hAnsi="Arial" w:cs="Arial"/>
          <w:i/>
          <w:sz w:val="23"/>
          <w:szCs w:val="23"/>
        </w:rPr>
      </w:pPr>
      <w:r w:rsidRPr="00A124BC">
        <w:rPr>
          <w:rFonts w:ascii="Arial" w:hAnsi="Arial" w:cs="Arial"/>
          <w:i/>
          <w:sz w:val="23"/>
          <w:szCs w:val="23"/>
        </w:rPr>
        <w:t>Figure 3: International market price Nigerian raw cashew</w:t>
      </w:r>
    </w:p>
    <w:p w14:paraId="1A0AD371" w14:textId="702D095B" w:rsidR="00496475" w:rsidRDefault="0038223B" w:rsidP="00E9341E">
      <w:pPr>
        <w:jc w:val="both"/>
        <w:rPr>
          <w:rFonts w:ascii="Arial" w:hAnsi="Arial" w:cs="Arial"/>
        </w:rPr>
      </w:pPr>
      <w:r>
        <w:rPr>
          <w:noProof/>
          <w:lang w:val="en-US"/>
        </w:rPr>
        <w:drawing>
          <wp:inline distT="0" distB="0" distL="0" distR="0" wp14:anchorId="0ACCC9C5" wp14:editId="52017A3E">
            <wp:extent cx="3101975" cy="2514388"/>
            <wp:effectExtent l="0" t="0" r="22225" b="260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0D44C77" w14:textId="77777777" w:rsidR="00E9341E" w:rsidRDefault="00E9341E" w:rsidP="00E9341E">
      <w:pPr>
        <w:jc w:val="both"/>
      </w:pPr>
    </w:p>
    <w:p w14:paraId="04D3D2A9" w14:textId="232C9108" w:rsidR="004154E4" w:rsidRPr="00A124BC" w:rsidRDefault="002639CB" w:rsidP="00E9341E">
      <w:pPr>
        <w:jc w:val="both"/>
        <w:rPr>
          <w:sz w:val="23"/>
          <w:szCs w:val="23"/>
        </w:rPr>
      </w:pPr>
      <w:r w:rsidRPr="00A124BC">
        <w:rPr>
          <w:sz w:val="23"/>
          <w:szCs w:val="23"/>
        </w:rPr>
        <w:t>This fall of US$325 per tonne</w:t>
      </w:r>
      <w:r w:rsidR="002058DC" w:rsidRPr="00A124BC">
        <w:rPr>
          <w:sz w:val="23"/>
          <w:szCs w:val="23"/>
        </w:rPr>
        <w:t xml:space="preserve"> </w:t>
      </w:r>
      <w:r w:rsidR="00104D9B">
        <w:rPr>
          <w:sz w:val="23"/>
          <w:szCs w:val="23"/>
        </w:rPr>
        <w:t>or</w:t>
      </w:r>
      <w:r w:rsidR="002058DC" w:rsidRPr="00A124BC">
        <w:rPr>
          <w:sz w:val="23"/>
          <w:szCs w:val="23"/>
        </w:rPr>
        <w:t xml:space="preserve"> 23.6%</w:t>
      </w:r>
      <w:r w:rsidRPr="00A124BC">
        <w:rPr>
          <w:sz w:val="23"/>
          <w:szCs w:val="23"/>
        </w:rPr>
        <w:t xml:space="preserve"> is worrisome, although over the last two weeks it seems the price has stabilised somewhat.</w:t>
      </w:r>
      <w:r w:rsidR="00894CC9" w:rsidRPr="00A124BC">
        <w:rPr>
          <w:sz w:val="23"/>
          <w:szCs w:val="23"/>
        </w:rPr>
        <w:t xml:space="preserve"> Even if the price does stabilise, the initial drop could translate to losses </w:t>
      </w:r>
      <w:r w:rsidR="0039460F" w:rsidRPr="00A124BC">
        <w:rPr>
          <w:sz w:val="23"/>
          <w:szCs w:val="23"/>
        </w:rPr>
        <w:t>of up to US$9</w:t>
      </w:r>
      <w:r w:rsidR="004154E4" w:rsidRPr="00A124BC">
        <w:rPr>
          <w:sz w:val="23"/>
          <w:szCs w:val="23"/>
        </w:rPr>
        <w:t>0 million in foreign exchange given that aro</w:t>
      </w:r>
      <w:r w:rsidR="00F63CBF" w:rsidRPr="00A124BC">
        <w:rPr>
          <w:sz w:val="23"/>
          <w:szCs w:val="23"/>
        </w:rPr>
        <w:t>und 90% of raw cashew produced</w:t>
      </w:r>
      <w:r w:rsidR="004154E4" w:rsidRPr="00A124BC">
        <w:rPr>
          <w:sz w:val="23"/>
          <w:szCs w:val="23"/>
        </w:rPr>
        <w:t xml:space="preserve"> is exported.</w:t>
      </w:r>
    </w:p>
    <w:p w14:paraId="77D1C5F5" w14:textId="77777777" w:rsidR="004154E4" w:rsidRPr="00A124BC" w:rsidRDefault="004154E4" w:rsidP="00E9341E">
      <w:pPr>
        <w:jc w:val="both"/>
        <w:rPr>
          <w:sz w:val="23"/>
          <w:szCs w:val="23"/>
        </w:rPr>
      </w:pPr>
    </w:p>
    <w:p w14:paraId="4226C05B" w14:textId="06965718" w:rsidR="003F325C" w:rsidRPr="00A124BC" w:rsidRDefault="004154E4" w:rsidP="00E9341E">
      <w:pPr>
        <w:jc w:val="both"/>
        <w:rPr>
          <w:sz w:val="23"/>
          <w:szCs w:val="23"/>
        </w:rPr>
      </w:pPr>
      <w:r w:rsidRPr="00A124BC">
        <w:rPr>
          <w:sz w:val="23"/>
          <w:szCs w:val="23"/>
        </w:rPr>
        <w:t xml:space="preserve">The hope is that Viet Nam and India are able to stay open for business so that their processing factories will still import large quantities from Nigeria. Although, given India’s current nationwide lockdown, and the Viet Nam Cashew Association’s warning, this is unlikely. This will mean continuous low prices, and might force cashew farmers in both Nigeria and West Africa as a whole into difficulties.  </w:t>
      </w:r>
      <w:r w:rsidR="00894CC9" w:rsidRPr="00A124BC">
        <w:rPr>
          <w:sz w:val="23"/>
          <w:szCs w:val="23"/>
        </w:rPr>
        <w:t xml:space="preserve"> </w:t>
      </w:r>
      <w:r w:rsidR="002639CB" w:rsidRPr="00A124BC">
        <w:rPr>
          <w:sz w:val="23"/>
          <w:szCs w:val="23"/>
        </w:rPr>
        <w:t xml:space="preserve">  </w:t>
      </w:r>
    </w:p>
    <w:p w14:paraId="65E41F0E" w14:textId="21756CCC" w:rsidR="003C13C0" w:rsidRPr="00A124BC" w:rsidRDefault="003C13C0" w:rsidP="003C13C0">
      <w:pPr>
        <w:pStyle w:val="Heading2"/>
        <w:spacing w:after="0"/>
        <w:jc w:val="both"/>
        <w:rPr>
          <w:color w:val="008000"/>
        </w:rPr>
      </w:pPr>
      <w:r w:rsidRPr="00A124BC">
        <w:rPr>
          <w:color w:val="008000"/>
        </w:rPr>
        <w:t xml:space="preserve">3. </w:t>
      </w:r>
      <w:r w:rsidR="00871E57" w:rsidRPr="00A124BC">
        <w:rPr>
          <w:color w:val="008000"/>
        </w:rPr>
        <w:t>Short-term Policy R</w:t>
      </w:r>
      <w:r w:rsidRPr="00A124BC">
        <w:rPr>
          <w:color w:val="008000"/>
        </w:rPr>
        <w:t>esponses</w:t>
      </w:r>
    </w:p>
    <w:p w14:paraId="07872005" w14:textId="34DAF6D1" w:rsidR="003C13C0" w:rsidRPr="00A124BC" w:rsidRDefault="00104D9B" w:rsidP="00E9341E">
      <w:pPr>
        <w:pStyle w:val="Heading2"/>
        <w:spacing w:after="0"/>
        <w:jc w:val="both"/>
        <w:rPr>
          <w:rFonts w:ascii="Arial" w:hAnsi="Arial" w:cs="Arial"/>
          <w:color w:val="3F3F3F" w:themeColor="text1"/>
          <w:sz w:val="23"/>
          <w:szCs w:val="23"/>
        </w:rPr>
      </w:pPr>
      <w:r>
        <w:rPr>
          <w:rFonts w:ascii="Arial" w:hAnsi="Arial" w:cs="Arial"/>
          <w:color w:val="3F3F3F" w:themeColor="text1"/>
          <w:sz w:val="23"/>
          <w:szCs w:val="23"/>
        </w:rPr>
        <w:t>Whilst many</w:t>
      </w:r>
      <w:r w:rsidR="00D60C65" w:rsidRPr="00A124BC">
        <w:rPr>
          <w:rFonts w:ascii="Arial" w:hAnsi="Arial" w:cs="Arial"/>
          <w:color w:val="3F3F3F" w:themeColor="text1"/>
          <w:sz w:val="23"/>
          <w:szCs w:val="23"/>
        </w:rPr>
        <w:t xml:space="preserve"> of the effects of the crisis on agricultural exports are outside of the Federal Government’s control, there is a need to highlight some of the internal challenges that must be quickly addressed to reduce the negative impact of the pandemic on non-oil exports.</w:t>
      </w:r>
    </w:p>
    <w:p w14:paraId="0D216F0F" w14:textId="77777777" w:rsidR="00D60C65" w:rsidRDefault="00D60C65" w:rsidP="00D60C65"/>
    <w:p w14:paraId="56AE385D" w14:textId="3F257A66" w:rsidR="00D60C65" w:rsidRPr="00A124BC" w:rsidRDefault="00D60C65" w:rsidP="00D60C65">
      <w:pPr>
        <w:ind w:firstLine="720"/>
        <w:rPr>
          <w:sz w:val="28"/>
          <w:szCs w:val="28"/>
        </w:rPr>
      </w:pPr>
      <w:r w:rsidRPr="00A124BC">
        <w:rPr>
          <w:color w:val="008000"/>
          <w:sz w:val="28"/>
          <w:szCs w:val="28"/>
        </w:rPr>
        <w:t>a)</w:t>
      </w:r>
      <w:r w:rsidRPr="00A124BC">
        <w:rPr>
          <w:sz w:val="28"/>
          <w:szCs w:val="28"/>
        </w:rPr>
        <w:t xml:space="preserve"> </w:t>
      </w:r>
      <w:r w:rsidRPr="00A124BC">
        <w:rPr>
          <w:i/>
          <w:color w:val="008000"/>
          <w:sz w:val="28"/>
          <w:szCs w:val="28"/>
        </w:rPr>
        <w:t>Logistics</w:t>
      </w:r>
    </w:p>
    <w:p w14:paraId="384E0673" w14:textId="77777777" w:rsidR="00D60C65" w:rsidRDefault="00D60C65" w:rsidP="00D60C65">
      <w:pPr>
        <w:rPr>
          <w:rFonts w:ascii="Helvetica" w:eastAsia="Times New Roman" w:hAnsi="Helvetica"/>
          <w:color w:val="000000"/>
          <w:sz w:val="18"/>
          <w:szCs w:val="18"/>
        </w:rPr>
      </w:pPr>
    </w:p>
    <w:p w14:paraId="27C07045" w14:textId="180465F2" w:rsidR="00D60C65" w:rsidRPr="00A124BC" w:rsidRDefault="00D60C65" w:rsidP="00D60C65">
      <w:pPr>
        <w:jc w:val="both"/>
        <w:rPr>
          <w:rFonts w:ascii="Arial" w:eastAsia="Times New Roman" w:hAnsi="Arial" w:cs="Arial"/>
          <w:sz w:val="23"/>
          <w:szCs w:val="23"/>
        </w:rPr>
      </w:pPr>
      <w:r w:rsidRPr="00A124BC">
        <w:rPr>
          <w:rFonts w:ascii="Arial" w:eastAsia="Times New Roman" w:hAnsi="Arial" w:cs="Arial"/>
          <w:sz w:val="23"/>
          <w:szCs w:val="23"/>
        </w:rPr>
        <w:t xml:space="preserve">In Nigeria today, all terminals in Lagos are between 90 - 95% full with uncleared cargo. </w:t>
      </w:r>
      <w:r w:rsidRPr="00A124BC">
        <w:rPr>
          <w:rFonts w:ascii="Arial" w:eastAsia="Times New Roman" w:hAnsi="Arial" w:cs="Arial"/>
          <w:sz w:val="23"/>
          <w:szCs w:val="23"/>
        </w:rPr>
        <w:lastRenderedPageBreak/>
        <w:t>Most of the cargo is non-essential. If nothing is done to address this issue, there will be no space in the terminals to discharge other important imports and exports. The Nigeria Governors’ Forum in their letter to the Presidential Task Force on Covid-19 dated 30 March, 2020, recommended several measures to provide special clearance for producers, suppliers and distributors of essential goods and services from the Ports to all parts of Nigeria. This measure should equally be extended to exporters of goods who had secured orders before the pandemic and are making all efforts to fulfil contractual obligations to their customers.</w:t>
      </w:r>
    </w:p>
    <w:p w14:paraId="7BC7AE88" w14:textId="77777777" w:rsidR="00D60C65" w:rsidRPr="00A124BC" w:rsidRDefault="00D60C65" w:rsidP="00D60C65">
      <w:pPr>
        <w:jc w:val="both"/>
        <w:rPr>
          <w:rFonts w:ascii="Arial" w:eastAsia="Times New Roman" w:hAnsi="Arial" w:cs="Arial"/>
          <w:sz w:val="23"/>
          <w:szCs w:val="23"/>
        </w:rPr>
      </w:pPr>
    </w:p>
    <w:p w14:paraId="5F4D3D4D" w14:textId="4F3B7622" w:rsidR="00D60C65" w:rsidRPr="00A124BC" w:rsidRDefault="00D60C65" w:rsidP="00357249">
      <w:pPr>
        <w:jc w:val="both"/>
        <w:rPr>
          <w:rFonts w:ascii="Arial" w:eastAsia="Times New Roman" w:hAnsi="Arial" w:cs="Arial"/>
          <w:sz w:val="23"/>
          <w:szCs w:val="23"/>
        </w:rPr>
      </w:pPr>
      <w:r w:rsidRPr="00A124BC">
        <w:rPr>
          <w:rFonts w:ascii="Arial" w:eastAsia="Times New Roman" w:hAnsi="Arial" w:cs="Arial"/>
          <w:sz w:val="23"/>
          <w:szCs w:val="23"/>
        </w:rPr>
        <w:t>In addition,</w:t>
      </w:r>
      <w:r w:rsidR="00357249" w:rsidRPr="00A124BC">
        <w:rPr>
          <w:rFonts w:ascii="Arial" w:eastAsia="Times New Roman" w:hAnsi="Arial" w:cs="Arial"/>
          <w:sz w:val="23"/>
          <w:szCs w:val="23"/>
        </w:rPr>
        <w:t xml:space="preserve"> there is need in this period</w:t>
      </w:r>
      <w:r w:rsidRPr="00A124BC">
        <w:rPr>
          <w:rFonts w:ascii="Arial" w:eastAsia="Times New Roman" w:hAnsi="Arial" w:cs="Arial"/>
          <w:sz w:val="23"/>
          <w:szCs w:val="23"/>
        </w:rPr>
        <w:t xml:space="preserve">, to allow full movement of cargo across the country to ensure their operations are not hampered. </w:t>
      </w:r>
      <w:r w:rsidR="00357249" w:rsidRPr="00A124BC">
        <w:rPr>
          <w:rFonts w:ascii="Arial" w:eastAsia="Times New Roman" w:hAnsi="Arial" w:cs="Arial"/>
          <w:sz w:val="23"/>
          <w:szCs w:val="23"/>
        </w:rPr>
        <w:t>T</w:t>
      </w:r>
      <w:r w:rsidRPr="00A124BC">
        <w:rPr>
          <w:rFonts w:ascii="Arial" w:eastAsia="Times New Roman" w:hAnsi="Arial" w:cs="Arial"/>
          <w:sz w:val="23"/>
          <w:szCs w:val="23"/>
        </w:rPr>
        <w:t xml:space="preserve">he Seaport Terminal Operators Association of Nigeria (STOAN) </w:t>
      </w:r>
      <w:r w:rsidR="00357249" w:rsidRPr="00A124BC">
        <w:rPr>
          <w:rFonts w:ascii="Arial" w:eastAsia="Times New Roman" w:hAnsi="Arial" w:cs="Arial"/>
          <w:sz w:val="23"/>
          <w:szCs w:val="23"/>
        </w:rPr>
        <w:t xml:space="preserve">have </w:t>
      </w:r>
      <w:r w:rsidRPr="00A124BC">
        <w:rPr>
          <w:rFonts w:ascii="Arial" w:eastAsia="Times New Roman" w:hAnsi="Arial" w:cs="Arial"/>
          <w:sz w:val="23"/>
          <w:szCs w:val="23"/>
        </w:rPr>
        <w:t xml:space="preserve">made some allegations on the number of government agencies at the nation’s ports. </w:t>
      </w:r>
      <w:r w:rsidR="00357249" w:rsidRPr="00A124BC">
        <w:rPr>
          <w:rFonts w:ascii="Arial" w:eastAsia="Times New Roman" w:hAnsi="Arial" w:cs="Arial"/>
          <w:sz w:val="23"/>
          <w:szCs w:val="23"/>
        </w:rPr>
        <w:t>The Association has identified that even after cargo is release in the terminals, government agencies, including customs, conduct another round of checks. STOAN have made an</w:t>
      </w:r>
      <w:r w:rsidRPr="00A124BC">
        <w:rPr>
          <w:rFonts w:ascii="Arial" w:eastAsia="Times New Roman" w:hAnsi="Arial" w:cs="Arial"/>
          <w:sz w:val="23"/>
          <w:szCs w:val="23"/>
        </w:rPr>
        <w:t xml:space="preserve"> appeal to the CG of Customs to ensure that custom officials and everyone involved in the cargo release process and the logistics chain</w:t>
      </w:r>
      <w:r w:rsidR="00357249" w:rsidRPr="00A124BC">
        <w:rPr>
          <w:rFonts w:ascii="Arial" w:eastAsia="Times New Roman" w:hAnsi="Arial" w:cs="Arial"/>
          <w:sz w:val="23"/>
          <w:szCs w:val="23"/>
        </w:rPr>
        <w:t xml:space="preserve">, </w:t>
      </w:r>
      <w:r w:rsidRPr="00A124BC">
        <w:rPr>
          <w:rFonts w:ascii="Arial" w:eastAsia="Times New Roman" w:hAnsi="Arial" w:cs="Arial"/>
          <w:sz w:val="23"/>
          <w:szCs w:val="23"/>
        </w:rPr>
        <w:t>sacrifice</w:t>
      </w:r>
      <w:r w:rsidR="00357249" w:rsidRPr="00A124BC">
        <w:rPr>
          <w:rFonts w:ascii="Arial" w:eastAsia="Times New Roman" w:hAnsi="Arial" w:cs="Arial"/>
          <w:sz w:val="23"/>
          <w:szCs w:val="23"/>
        </w:rPr>
        <w:t xml:space="preserve"> any</w:t>
      </w:r>
      <w:r w:rsidRPr="00A124BC">
        <w:rPr>
          <w:rFonts w:ascii="Arial" w:eastAsia="Times New Roman" w:hAnsi="Arial" w:cs="Arial"/>
          <w:sz w:val="23"/>
          <w:szCs w:val="23"/>
        </w:rPr>
        <w:t xml:space="preserve"> personal interests at this time.</w:t>
      </w:r>
      <w:r w:rsidR="00357249" w:rsidRPr="00A124BC">
        <w:rPr>
          <w:rFonts w:ascii="Arial" w:eastAsia="Times New Roman" w:hAnsi="Arial" w:cs="Arial"/>
          <w:sz w:val="23"/>
          <w:szCs w:val="23"/>
        </w:rPr>
        <w:t xml:space="preserve"> NEPC supports these moves and asks that they be applied to exports as well. All logistical challenges that have the tendency of slowing down exports have to be tackled quickly.  </w:t>
      </w:r>
    </w:p>
    <w:p w14:paraId="367F8B65" w14:textId="77777777" w:rsidR="00D60C65" w:rsidRDefault="00D60C65" w:rsidP="00D60C65">
      <w:pPr>
        <w:jc w:val="both"/>
        <w:rPr>
          <w:rFonts w:ascii="Arial" w:eastAsia="Times New Roman" w:hAnsi="Arial" w:cs="Arial"/>
          <w:sz w:val="24"/>
          <w:szCs w:val="24"/>
        </w:rPr>
      </w:pPr>
    </w:p>
    <w:p w14:paraId="296D7F03" w14:textId="7620DEA2" w:rsidR="00871E57" w:rsidRPr="00A124BC" w:rsidRDefault="00871E57" w:rsidP="00871E57">
      <w:pPr>
        <w:ind w:left="720"/>
        <w:rPr>
          <w:i/>
          <w:color w:val="008000"/>
          <w:sz w:val="28"/>
          <w:szCs w:val="28"/>
        </w:rPr>
      </w:pPr>
      <w:r w:rsidRPr="00A124BC">
        <w:rPr>
          <w:color w:val="008000"/>
          <w:sz w:val="28"/>
          <w:szCs w:val="28"/>
        </w:rPr>
        <w:t>b)</w:t>
      </w:r>
      <w:r w:rsidRPr="00A124BC">
        <w:rPr>
          <w:sz w:val="28"/>
          <w:szCs w:val="28"/>
        </w:rPr>
        <w:t xml:space="preserve"> </w:t>
      </w:r>
      <w:r w:rsidRPr="00A124BC">
        <w:rPr>
          <w:i/>
          <w:color w:val="008000"/>
          <w:sz w:val="28"/>
          <w:szCs w:val="28"/>
        </w:rPr>
        <w:t xml:space="preserve">Acceleration of Export </w:t>
      </w:r>
      <w:r w:rsidR="00DD03D0">
        <w:rPr>
          <w:i/>
          <w:color w:val="008000"/>
          <w:sz w:val="28"/>
          <w:szCs w:val="28"/>
        </w:rPr>
        <w:t>Expansion Grant Claim</w:t>
      </w:r>
      <w:r w:rsidRPr="00A124BC">
        <w:rPr>
          <w:i/>
          <w:color w:val="008000"/>
          <w:sz w:val="28"/>
          <w:szCs w:val="28"/>
        </w:rPr>
        <w:t>s</w:t>
      </w:r>
    </w:p>
    <w:p w14:paraId="68AE53FA" w14:textId="77777777" w:rsidR="00871E57" w:rsidRDefault="00871E57" w:rsidP="00871E57">
      <w:pPr>
        <w:ind w:firstLine="720"/>
        <w:rPr>
          <w:i/>
          <w:color w:val="008000"/>
          <w:sz w:val="30"/>
          <w:szCs w:val="30"/>
        </w:rPr>
      </w:pPr>
    </w:p>
    <w:p w14:paraId="02D89F60" w14:textId="0B5013E4" w:rsidR="00871E57" w:rsidRPr="00A124BC" w:rsidRDefault="00871E57" w:rsidP="00871E57">
      <w:pPr>
        <w:jc w:val="both"/>
        <w:rPr>
          <w:rFonts w:ascii="Arial" w:hAnsi="Arial" w:cs="Arial"/>
          <w:sz w:val="23"/>
          <w:szCs w:val="23"/>
        </w:rPr>
      </w:pPr>
      <w:r w:rsidRPr="00A124BC">
        <w:rPr>
          <w:rFonts w:ascii="Arial" w:hAnsi="Arial" w:cs="Arial"/>
          <w:sz w:val="23"/>
          <w:szCs w:val="23"/>
        </w:rPr>
        <w:t xml:space="preserve">The Federal Government has designed a new </w:t>
      </w:r>
      <w:r w:rsidR="00DD03D0">
        <w:rPr>
          <w:rFonts w:ascii="Arial" w:hAnsi="Arial" w:cs="Arial"/>
          <w:sz w:val="23"/>
          <w:szCs w:val="23"/>
        </w:rPr>
        <w:t>post-shipment incentive payment system</w:t>
      </w:r>
      <w:r w:rsidRPr="00A124BC">
        <w:rPr>
          <w:rFonts w:ascii="Arial" w:hAnsi="Arial" w:cs="Arial"/>
          <w:sz w:val="23"/>
          <w:szCs w:val="23"/>
        </w:rPr>
        <w:t xml:space="preserve">, the Export Credit Certificate (ECC), replacing the old </w:t>
      </w:r>
      <w:r w:rsidR="00DD03D0">
        <w:rPr>
          <w:rFonts w:ascii="Arial" w:hAnsi="Arial" w:cs="Arial"/>
          <w:sz w:val="23"/>
          <w:szCs w:val="23"/>
        </w:rPr>
        <w:t xml:space="preserve">Negotiable Duty Credit Certificate (NDCC) under the Export Expansion Grant Scheme. </w:t>
      </w:r>
      <w:r w:rsidRPr="00A124BC">
        <w:rPr>
          <w:rFonts w:ascii="Arial" w:hAnsi="Arial" w:cs="Arial"/>
          <w:sz w:val="23"/>
          <w:szCs w:val="23"/>
        </w:rPr>
        <w:t>This is in the form of a tax credit and increases in percentage terms (up to a maximum of 15%) depending on the level of processing for the good exported.</w:t>
      </w:r>
    </w:p>
    <w:p w14:paraId="4B66DB86" w14:textId="77777777" w:rsidR="00871E57" w:rsidRPr="00A124BC" w:rsidRDefault="00871E57" w:rsidP="00871E57">
      <w:pPr>
        <w:jc w:val="both"/>
        <w:rPr>
          <w:rFonts w:ascii="Arial" w:hAnsi="Arial" w:cs="Arial"/>
          <w:sz w:val="23"/>
          <w:szCs w:val="23"/>
        </w:rPr>
      </w:pPr>
    </w:p>
    <w:p w14:paraId="44007F9E" w14:textId="1C9A3747" w:rsidR="00871E57" w:rsidRPr="00A124BC" w:rsidRDefault="00871E57" w:rsidP="00871E57">
      <w:pPr>
        <w:jc w:val="both"/>
        <w:rPr>
          <w:rFonts w:ascii="Arial" w:eastAsia="Times New Roman" w:hAnsi="Arial" w:cs="Arial"/>
          <w:sz w:val="22"/>
        </w:rPr>
      </w:pPr>
      <w:r w:rsidRPr="00A124BC">
        <w:rPr>
          <w:rFonts w:ascii="Arial" w:hAnsi="Arial" w:cs="Arial"/>
          <w:sz w:val="23"/>
          <w:szCs w:val="23"/>
        </w:rPr>
        <w:t xml:space="preserve">NEPC will look to accelerate </w:t>
      </w:r>
      <w:r w:rsidR="00DD03D0">
        <w:rPr>
          <w:rFonts w:ascii="Arial" w:hAnsi="Arial" w:cs="Arial"/>
          <w:sz w:val="23"/>
          <w:szCs w:val="23"/>
        </w:rPr>
        <w:t>Export Expansion Grant</w:t>
      </w:r>
      <w:r w:rsidRPr="00A124BC">
        <w:rPr>
          <w:rFonts w:ascii="Arial" w:hAnsi="Arial" w:cs="Arial"/>
          <w:sz w:val="23"/>
          <w:szCs w:val="23"/>
        </w:rPr>
        <w:t xml:space="preserve"> claims from exporters who </w:t>
      </w:r>
      <w:r w:rsidR="00F41906" w:rsidRPr="00A124BC">
        <w:rPr>
          <w:rFonts w:ascii="Arial" w:hAnsi="Arial" w:cs="Arial"/>
          <w:sz w:val="23"/>
          <w:szCs w:val="23"/>
        </w:rPr>
        <w:t>secured</w:t>
      </w:r>
      <w:r w:rsidRPr="00A124BC">
        <w:rPr>
          <w:rFonts w:ascii="Arial" w:hAnsi="Arial" w:cs="Arial"/>
          <w:sz w:val="23"/>
          <w:szCs w:val="23"/>
        </w:rPr>
        <w:t xml:space="preserve"> ex</w:t>
      </w:r>
      <w:r w:rsidR="00F41906" w:rsidRPr="00A124BC">
        <w:rPr>
          <w:rFonts w:ascii="Arial" w:hAnsi="Arial" w:cs="Arial"/>
          <w:sz w:val="23"/>
          <w:szCs w:val="23"/>
        </w:rPr>
        <w:t>port</w:t>
      </w:r>
      <w:r w:rsidRPr="00A124BC">
        <w:rPr>
          <w:rFonts w:ascii="Arial" w:hAnsi="Arial" w:cs="Arial"/>
          <w:sz w:val="23"/>
          <w:szCs w:val="23"/>
        </w:rPr>
        <w:t xml:space="preserve"> orders</w:t>
      </w:r>
      <w:r w:rsidR="00F41906" w:rsidRPr="00A124BC">
        <w:rPr>
          <w:rFonts w:ascii="Arial" w:hAnsi="Arial" w:cs="Arial"/>
          <w:sz w:val="23"/>
          <w:szCs w:val="23"/>
        </w:rPr>
        <w:t xml:space="preserve"> before</w:t>
      </w:r>
      <w:r w:rsidRPr="00A124BC">
        <w:rPr>
          <w:rFonts w:ascii="Arial" w:hAnsi="Arial" w:cs="Arial"/>
          <w:sz w:val="23"/>
          <w:szCs w:val="23"/>
        </w:rPr>
        <w:t xml:space="preserve"> </w:t>
      </w:r>
      <w:r w:rsidR="00F41906" w:rsidRPr="00A124BC">
        <w:rPr>
          <w:rFonts w:ascii="Arial" w:hAnsi="Arial" w:cs="Arial"/>
          <w:sz w:val="23"/>
          <w:szCs w:val="23"/>
        </w:rPr>
        <w:t xml:space="preserve">the </w:t>
      </w:r>
      <w:r w:rsidRPr="00A124BC">
        <w:rPr>
          <w:rFonts w:ascii="Arial" w:hAnsi="Arial" w:cs="Arial"/>
          <w:sz w:val="23"/>
          <w:szCs w:val="23"/>
        </w:rPr>
        <w:t>pandemic</w:t>
      </w:r>
      <w:r w:rsidR="00F41906" w:rsidRPr="00A124BC">
        <w:rPr>
          <w:rFonts w:ascii="Arial" w:hAnsi="Arial" w:cs="Arial"/>
          <w:sz w:val="23"/>
          <w:szCs w:val="23"/>
        </w:rPr>
        <w:t xml:space="preserve">, and are making efforts to fulfil contractual obligations to </w:t>
      </w:r>
      <w:r w:rsidR="00F41906" w:rsidRPr="00A124BC">
        <w:rPr>
          <w:rFonts w:ascii="Arial" w:hAnsi="Arial" w:cs="Arial"/>
          <w:sz w:val="23"/>
          <w:szCs w:val="23"/>
        </w:rPr>
        <w:t>their clients</w:t>
      </w:r>
      <w:r w:rsidRPr="00A124BC">
        <w:rPr>
          <w:rFonts w:ascii="Arial" w:hAnsi="Arial" w:cs="Arial"/>
          <w:sz w:val="23"/>
          <w:szCs w:val="23"/>
        </w:rPr>
        <w:t>. This will</w:t>
      </w:r>
      <w:r w:rsidRPr="00A124BC">
        <w:rPr>
          <w:rFonts w:ascii="Arial" w:hAnsi="Arial" w:cs="Arial"/>
          <w:sz w:val="22"/>
        </w:rPr>
        <w:t xml:space="preserve"> </w:t>
      </w:r>
      <w:r w:rsidR="00A124BC">
        <w:rPr>
          <w:rFonts w:ascii="Arial" w:hAnsi="Arial" w:cs="Arial"/>
          <w:sz w:val="23"/>
          <w:szCs w:val="23"/>
        </w:rPr>
        <w:t xml:space="preserve">bring </w:t>
      </w:r>
      <w:r w:rsidRPr="00A124BC">
        <w:rPr>
          <w:rFonts w:ascii="Arial" w:hAnsi="Arial" w:cs="Arial"/>
          <w:sz w:val="23"/>
          <w:szCs w:val="23"/>
        </w:rPr>
        <w:t>much needed support</w:t>
      </w:r>
      <w:r w:rsidR="00A124BC">
        <w:rPr>
          <w:rFonts w:ascii="Arial" w:hAnsi="Arial" w:cs="Arial"/>
          <w:sz w:val="23"/>
          <w:szCs w:val="23"/>
        </w:rPr>
        <w:t xml:space="preserve"> for exporting companies in these </w:t>
      </w:r>
      <w:r w:rsidRPr="00A124BC">
        <w:rPr>
          <w:rFonts w:ascii="Arial" w:hAnsi="Arial" w:cs="Arial"/>
          <w:sz w:val="23"/>
          <w:szCs w:val="23"/>
        </w:rPr>
        <w:t>uncertain economic times.</w:t>
      </w:r>
      <w:r w:rsidRPr="00A124BC">
        <w:rPr>
          <w:rFonts w:ascii="Arial" w:hAnsi="Arial" w:cs="Arial"/>
          <w:sz w:val="22"/>
        </w:rPr>
        <w:t xml:space="preserve">  </w:t>
      </w:r>
    </w:p>
    <w:p w14:paraId="76BAD8B0" w14:textId="1875DE11" w:rsidR="00871E57" w:rsidRPr="00A124BC" w:rsidRDefault="00871E57" w:rsidP="00871E57">
      <w:pPr>
        <w:pStyle w:val="Heading2"/>
        <w:spacing w:after="0"/>
        <w:jc w:val="both"/>
        <w:rPr>
          <w:color w:val="008000"/>
        </w:rPr>
      </w:pPr>
      <w:r w:rsidRPr="00A124BC">
        <w:rPr>
          <w:color w:val="008000"/>
        </w:rPr>
        <w:t>4. Long-term Policy Responses</w:t>
      </w:r>
    </w:p>
    <w:p w14:paraId="73D2BD73" w14:textId="77777777" w:rsidR="00871E57" w:rsidRDefault="00871E57" w:rsidP="00D60C65">
      <w:pPr>
        <w:jc w:val="both"/>
        <w:rPr>
          <w:rFonts w:ascii="Arial" w:eastAsia="Times New Roman" w:hAnsi="Arial" w:cs="Arial"/>
          <w:sz w:val="24"/>
          <w:szCs w:val="24"/>
        </w:rPr>
      </w:pPr>
    </w:p>
    <w:p w14:paraId="64DF02A9" w14:textId="20949D10" w:rsidR="00871E57" w:rsidRPr="00A124BC" w:rsidRDefault="00871E57" w:rsidP="00D60C65">
      <w:pPr>
        <w:jc w:val="both"/>
        <w:rPr>
          <w:rFonts w:ascii="Arial" w:eastAsia="Times New Roman" w:hAnsi="Arial" w:cs="Arial"/>
          <w:sz w:val="23"/>
          <w:szCs w:val="23"/>
        </w:rPr>
      </w:pPr>
      <w:r w:rsidRPr="00A124BC">
        <w:rPr>
          <w:rFonts w:ascii="Arial" w:eastAsia="Times New Roman" w:hAnsi="Arial" w:cs="Arial"/>
          <w:sz w:val="23"/>
          <w:szCs w:val="23"/>
        </w:rPr>
        <w:t xml:space="preserve">Longer-term, Nigeria must look at two main factors to ensure its agricultural export sector is better prepared to deal with major economic downturns such as the one witnessed </w:t>
      </w:r>
      <w:r w:rsidR="00F41906" w:rsidRPr="00A124BC">
        <w:rPr>
          <w:rFonts w:ascii="Arial" w:eastAsia="Times New Roman" w:hAnsi="Arial" w:cs="Arial"/>
          <w:sz w:val="23"/>
          <w:szCs w:val="23"/>
        </w:rPr>
        <w:t xml:space="preserve">today following the covid-19 pandemic. </w:t>
      </w:r>
    </w:p>
    <w:p w14:paraId="2F490D6B" w14:textId="77777777" w:rsidR="00F41906" w:rsidRPr="00A124BC" w:rsidRDefault="00F41906" w:rsidP="00D60C65">
      <w:pPr>
        <w:jc w:val="both"/>
        <w:rPr>
          <w:rFonts w:ascii="Arial" w:eastAsia="Times New Roman" w:hAnsi="Arial" w:cs="Arial"/>
          <w:sz w:val="22"/>
        </w:rPr>
      </w:pPr>
    </w:p>
    <w:p w14:paraId="33B96851" w14:textId="119465A6" w:rsidR="008C65A9" w:rsidRPr="00A124BC" w:rsidRDefault="00871E57" w:rsidP="008C65A9">
      <w:pPr>
        <w:ind w:firstLine="720"/>
        <w:rPr>
          <w:color w:val="008000"/>
          <w:sz w:val="28"/>
          <w:szCs w:val="28"/>
        </w:rPr>
      </w:pPr>
      <w:r w:rsidRPr="00A124BC">
        <w:rPr>
          <w:color w:val="008000"/>
          <w:sz w:val="28"/>
          <w:szCs w:val="28"/>
        </w:rPr>
        <w:t>a</w:t>
      </w:r>
      <w:r w:rsidR="008C65A9" w:rsidRPr="00A124BC">
        <w:rPr>
          <w:color w:val="008000"/>
          <w:sz w:val="28"/>
          <w:szCs w:val="28"/>
        </w:rPr>
        <w:t>)</w:t>
      </w:r>
      <w:r w:rsidR="008C65A9" w:rsidRPr="00A124BC">
        <w:rPr>
          <w:sz w:val="28"/>
          <w:szCs w:val="28"/>
        </w:rPr>
        <w:t xml:space="preserve"> </w:t>
      </w:r>
      <w:r w:rsidR="008C65A9" w:rsidRPr="00A124BC">
        <w:rPr>
          <w:i/>
          <w:color w:val="008000"/>
          <w:sz w:val="28"/>
          <w:szCs w:val="28"/>
        </w:rPr>
        <w:t>Diversify products</w:t>
      </w:r>
    </w:p>
    <w:p w14:paraId="6AC72D90" w14:textId="77777777" w:rsidR="008C65A9" w:rsidRPr="00A124BC" w:rsidRDefault="008C65A9" w:rsidP="008C65A9">
      <w:pPr>
        <w:rPr>
          <w:color w:val="008000"/>
          <w:sz w:val="22"/>
        </w:rPr>
      </w:pPr>
    </w:p>
    <w:p w14:paraId="3C554815" w14:textId="3F35F5F8" w:rsidR="008C65A9" w:rsidRPr="00A124BC" w:rsidRDefault="008C65A9" w:rsidP="00082315">
      <w:pPr>
        <w:jc w:val="both"/>
        <w:rPr>
          <w:rFonts w:ascii="Arial" w:hAnsi="Arial" w:cs="Arial"/>
          <w:sz w:val="23"/>
          <w:szCs w:val="23"/>
        </w:rPr>
      </w:pPr>
      <w:r w:rsidRPr="00A124BC">
        <w:rPr>
          <w:rFonts w:ascii="Arial" w:hAnsi="Arial" w:cs="Arial"/>
          <w:sz w:val="23"/>
          <w:szCs w:val="23"/>
        </w:rPr>
        <w:t>Nigeria’s agricultural exports can be expanded in the long-term and this diversification will help avoid the ill eff</w:t>
      </w:r>
      <w:r w:rsidR="00104D9B">
        <w:rPr>
          <w:rFonts w:ascii="Arial" w:hAnsi="Arial" w:cs="Arial"/>
          <w:sz w:val="23"/>
          <w:szCs w:val="23"/>
        </w:rPr>
        <w:t xml:space="preserve">ects of commodity price shocks. </w:t>
      </w:r>
      <w:r w:rsidR="00BA5A72" w:rsidRPr="00A124BC">
        <w:rPr>
          <w:rFonts w:ascii="Arial" w:hAnsi="Arial" w:cs="Arial"/>
          <w:sz w:val="23"/>
          <w:szCs w:val="23"/>
        </w:rPr>
        <w:t xml:space="preserve">Looking at three </w:t>
      </w:r>
      <w:r w:rsidR="001336AD" w:rsidRPr="00A124BC">
        <w:rPr>
          <w:rFonts w:ascii="Arial" w:hAnsi="Arial" w:cs="Arial"/>
          <w:sz w:val="23"/>
          <w:szCs w:val="23"/>
        </w:rPr>
        <w:t xml:space="preserve">agricultural </w:t>
      </w:r>
      <w:r w:rsidR="00BA5A72" w:rsidRPr="00A124BC">
        <w:rPr>
          <w:rFonts w:ascii="Arial" w:hAnsi="Arial" w:cs="Arial"/>
          <w:sz w:val="23"/>
          <w:szCs w:val="23"/>
        </w:rPr>
        <w:t>products where Nigeria has the potential to expand its exports, illustrates why a wider export portfolio is crucial.</w:t>
      </w:r>
    </w:p>
    <w:p w14:paraId="5C0F7CDD" w14:textId="77777777" w:rsidR="0039460F" w:rsidRPr="00A124BC" w:rsidRDefault="0039460F" w:rsidP="00082315">
      <w:pPr>
        <w:jc w:val="both"/>
        <w:rPr>
          <w:rFonts w:ascii="Arial" w:hAnsi="Arial" w:cs="Arial"/>
          <w:sz w:val="23"/>
          <w:szCs w:val="23"/>
        </w:rPr>
      </w:pPr>
    </w:p>
    <w:p w14:paraId="5656F09D" w14:textId="3C1DAC4C" w:rsidR="00BA5A72" w:rsidRPr="00A124BC" w:rsidRDefault="00BA5A72" w:rsidP="00082315">
      <w:pPr>
        <w:jc w:val="both"/>
        <w:rPr>
          <w:rFonts w:ascii="Arial" w:hAnsi="Arial" w:cs="Arial"/>
          <w:sz w:val="23"/>
          <w:szCs w:val="23"/>
        </w:rPr>
      </w:pPr>
      <w:r w:rsidRPr="00A124BC">
        <w:rPr>
          <w:rFonts w:ascii="Arial" w:hAnsi="Arial" w:cs="Arial"/>
          <w:sz w:val="23"/>
          <w:szCs w:val="23"/>
        </w:rPr>
        <w:t xml:space="preserve">In 2019, Nigeria exports of ginger amounted to US$10.4 million, which is by no means insignificant. However, in a market </w:t>
      </w:r>
      <w:r w:rsidR="001336AD" w:rsidRPr="00A124BC">
        <w:rPr>
          <w:rFonts w:ascii="Arial" w:hAnsi="Arial" w:cs="Arial"/>
          <w:sz w:val="23"/>
          <w:szCs w:val="23"/>
        </w:rPr>
        <w:t xml:space="preserve">of </w:t>
      </w:r>
      <w:r w:rsidRPr="00A124BC">
        <w:rPr>
          <w:rFonts w:ascii="Arial" w:hAnsi="Arial" w:cs="Arial"/>
          <w:sz w:val="23"/>
          <w:szCs w:val="23"/>
        </w:rPr>
        <w:t>close to US$1 billion, there is evident space for Nigeria to increase its exports.</w:t>
      </w:r>
    </w:p>
    <w:p w14:paraId="3879F3E3" w14:textId="77777777" w:rsidR="00BA5A72" w:rsidRPr="00A124BC" w:rsidRDefault="00BA5A72" w:rsidP="00082315">
      <w:pPr>
        <w:jc w:val="both"/>
        <w:rPr>
          <w:rFonts w:ascii="Arial" w:hAnsi="Arial" w:cs="Arial"/>
          <w:sz w:val="23"/>
          <w:szCs w:val="23"/>
        </w:rPr>
      </w:pPr>
    </w:p>
    <w:p w14:paraId="01E4FE54" w14:textId="7CBDB160" w:rsidR="00A91836" w:rsidRPr="00A124BC" w:rsidRDefault="00BA5A72" w:rsidP="00082315">
      <w:pPr>
        <w:jc w:val="both"/>
        <w:rPr>
          <w:rFonts w:ascii="Arial" w:hAnsi="Arial" w:cs="Arial"/>
          <w:sz w:val="23"/>
          <w:szCs w:val="23"/>
        </w:rPr>
      </w:pPr>
      <w:r w:rsidRPr="00A124BC">
        <w:rPr>
          <w:rFonts w:ascii="Arial" w:hAnsi="Arial" w:cs="Arial"/>
          <w:sz w:val="23"/>
          <w:szCs w:val="23"/>
        </w:rPr>
        <w:t xml:space="preserve">Moreover, </w:t>
      </w:r>
      <w:r w:rsidR="00A91836" w:rsidRPr="00A124BC">
        <w:rPr>
          <w:rFonts w:ascii="Arial" w:hAnsi="Arial" w:cs="Arial"/>
          <w:sz w:val="23"/>
          <w:szCs w:val="23"/>
        </w:rPr>
        <w:t>figure 4 below highlights that the price of Nigerian ginger has actually risen with the outbreak of the pandemic. This, in part, could be explained by a rise in demand for products with high nu</w:t>
      </w:r>
      <w:r w:rsidR="001336AD" w:rsidRPr="00A124BC">
        <w:rPr>
          <w:rFonts w:ascii="Arial" w:hAnsi="Arial" w:cs="Arial"/>
          <w:sz w:val="23"/>
          <w:szCs w:val="23"/>
        </w:rPr>
        <w:t xml:space="preserve">tritional value such as ginger. </w:t>
      </w:r>
      <w:r w:rsidR="00A91836" w:rsidRPr="00A124BC">
        <w:rPr>
          <w:rFonts w:ascii="Arial" w:hAnsi="Arial" w:cs="Arial"/>
          <w:sz w:val="23"/>
          <w:szCs w:val="23"/>
        </w:rPr>
        <w:t>Nigeria would evidently benefit from scaling up the production of ginger to take advantage of this opportunity</w:t>
      </w:r>
      <w:r w:rsidR="00082315" w:rsidRPr="00A124BC">
        <w:rPr>
          <w:rFonts w:ascii="Arial" w:hAnsi="Arial" w:cs="Arial"/>
          <w:sz w:val="23"/>
          <w:szCs w:val="23"/>
        </w:rPr>
        <w:t xml:space="preserve">. </w:t>
      </w:r>
    </w:p>
    <w:p w14:paraId="42E5D0CF" w14:textId="77777777" w:rsidR="00A91836" w:rsidRPr="00A124BC" w:rsidRDefault="00A91836" w:rsidP="008C65A9">
      <w:pPr>
        <w:rPr>
          <w:rFonts w:ascii="Arial" w:hAnsi="Arial" w:cs="Arial"/>
          <w:sz w:val="23"/>
          <w:szCs w:val="23"/>
        </w:rPr>
      </w:pPr>
    </w:p>
    <w:p w14:paraId="4E8732EC" w14:textId="3ED7FD95" w:rsidR="008C65A9" w:rsidRPr="00A124BC" w:rsidRDefault="00A91836" w:rsidP="00BF211A">
      <w:pPr>
        <w:jc w:val="center"/>
        <w:rPr>
          <w:rFonts w:ascii="Arial" w:hAnsi="Arial" w:cs="Arial"/>
          <w:i/>
          <w:sz w:val="23"/>
          <w:szCs w:val="23"/>
        </w:rPr>
      </w:pPr>
      <w:r w:rsidRPr="00A124BC">
        <w:rPr>
          <w:rFonts w:ascii="Arial" w:hAnsi="Arial" w:cs="Arial"/>
          <w:i/>
          <w:sz w:val="23"/>
          <w:szCs w:val="23"/>
        </w:rPr>
        <w:t>Figure 4: International market price Nigerian ginger</w:t>
      </w:r>
    </w:p>
    <w:p w14:paraId="6E087627" w14:textId="592A4A3E" w:rsidR="00A91836" w:rsidRDefault="00BF211A" w:rsidP="00A91836">
      <w:pPr>
        <w:jc w:val="both"/>
        <w:rPr>
          <w:rFonts w:ascii="Arial" w:hAnsi="Arial" w:cs="Arial"/>
          <w:sz w:val="23"/>
          <w:szCs w:val="23"/>
        </w:rPr>
      </w:pPr>
      <w:r>
        <w:rPr>
          <w:noProof/>
          <w:lang w:val="en-US"/>
        </w:rPr>
        <w:drawing>
          <wp:inline distT="0" distB="0" distL="0" distR="0" wp14:anchorId="466F1E44" wp14:editId="3478388A">
            <wp:extent cx="3264535" cy="2338705"/>
            <wp:effectExtent l="0" t="0" r="37465" b="2349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5F83A0E" w14:textId="77777777" w:rsidR="00BF211A" w:rsidRDefault="00BF211A" w:rsidP="00A91836">
      <w:pPr>
        <w:jc w:val="both"/>
        <w:rPr>
          <w:rFonts w:ascii="Arial" w:hAnsi="Arial" w:cs="Arial"/>
          <w:sz w:val="24"/>
          <w:szCs w:val="24"/>
        </w:rPr>
      </w:pPr>
    </w:p>
    <w:p w14:paraId="300F49DA" w14:textId="144AA8BD" w:rsidR="00A91836" w:rsidRPr="00A124BC" w:rsidRDefault="00A91836" w:rsidP="00A91836">
      <w:pPr>
        <w:jc w:val="both"/>
        <w:rPr>
          <w:rFonts w:ascii="Arial" w:hAnsi="Arial" w:cs="Arial"/>
          <w:sz w:val="23"/>
          <w:szCs w:val="23"/>
        </w:rPr>
      </w:pPr>
      <w:r w:rsidRPr="00A124BC">
        <w:rPr>
          <w:rFonts w:ascii="Arial" w:hAnsi="Arial" w:cs="Arial"/>
          <w:sz w:val="23"/>
          <w:szCs w:val="23"/>
        </w:rPr>
        <w:lastRenderedPageBreak/>
        <w:t>The same goes for rice and soya beans. In the case of rice, we have seen an increase in the price of rice from major exporters such as Thailand since the start of the pandemic from US$445/tonne to US$564/tonne</w:t>
      </w:r>
      <w:r w:rsidR="001336AD" w:rsidRPr="00A124BC">
        <w:rPr>
          <w:rFonts w:ascii="Arial" w:hAnsi="Arial" w:cs="Arial"/>
          <w:sz w:val="23"/>
          <w:szCs w:val="23"/>
        </w:rPr>
        <w:t xml:space="preserve"> (source: ITC market price information)</w:t>
      </w:r>
      <w:r w:rsidRPr="00A124BC">
        <w:rPr>
          <w:rFonts w:ascii="Arial" w:hAnsi="Arial" w:cs="Arial"/>
          <w:sz w:val="23"/>
          <w:szCs w:val="23"/>
        </w:rPr>
        <w:t xml:space="preserve">. Whilst Nigeria has made notable strides regarding the import substitution of rice, it is imperative that the country now begins to look to export. </w:t>
      </w:r>
    </w:p>
    <w:p w14:paraId="37FB8FCA" w14:textId="77777777" w:rsidR="00A91836" w:rsidRPr="00A124BC" w:rsidRDefault="00A91836" w:rsidP="00A91836">
      <w:pPr>
        <w:jc w:val="both"/>
        <w:rPr>
          <w:rFonts w:ascii="Arial" w:hAnsi="Arial" w:cs="Arial"/>
          <w:sz w:val="23"/>
          <w:szCs w:val="23"/>
        </w:rPr>
      </w:pPr>
    </w:p>
    <w:p w14:paraId="49FA6B69" w14:textId="7D384F8D" w:rsidR="00082315" w:rsidRPr="00A124BC" w:rsidRDefault="00104D9B" w:rsidP="00A91836">
      <w:pPr>
        <w:jc w:val="both"/>
        <w:rPr>
          <w:rFonts w:ascii="Arial" w:hAnsi="Arial" w:cs="Arial"/>
          <w:sz w:val="23"/>
          <w:szCs w:val="23"/>
        </w:rPr>
      </w:pPr>
      <w:r>
        <w:rPr>
          <w:rFonts w:ascii="Arial" w:hAnsi="Arial" w:cs="Arial"/>
          <w:sz w:val="23"/>
          <w:szCs w:val="23"/>
        </w:rPr>
        <w:t>Soya bean</w:t>
      </w:r>
      <w:r w:rsidR="00A91836" w:rsidRPr="00A124BC">
        <w:rPr>
          <w:rFonts w:ascii="Arial" w:hAnsi="Arial" w:cs="Arial"/>
          <w:sz w:val="23"/>
          <w:szCs w:val="23"/>
        </w:rPr>
        <w:t xml:space="preserve"> is another product where Nigeria has significant comparative advantage, yet is currently not exporting in large quantities. </w:t>
      </w:r>
      <w:r w:rsidR="00082315" w:rsidRPr="00A124BC">
        <w:rPr>
          <w:rFonts w:ascii="Arial" w:hAnsi="Arial" w:cs="Arial"/>
          <w:sz w:val="23"/>
          <w:szCs w:val="23"/>
        </w:rPr>
        <w:t>Furthermore, the prices o</w:t>
      </w:r>
      <w:r w:rsidR="001336AD" w:rsidRPr="00A124BC">
        <w:rPr>
          <w:rFonts w:ascii="Arial" w:hAnsi="Arial" w:cs="Arial"/>
          <w:sz w:val="23"/>
          <w:szCs w:val="23"/>
        </w:rPr>
        <w:t>f soya beans for major export countries</w:t>
      </w:r>
      <w:r w:rsidR="00082315" w:rsidRPr="00A124BC">
        <w:rPr>
          <w:rFonts w:ascii="Arial" w:hAnsi="Arial" w:cs="Arial"/>
          <w:sz w:val="23"/>
          <w:szCs w:val="23"/>
        </w:rPr>
        <w:t xml:space="preserve"> have remained fairly stable during the crisis. The largest exporter of soya beans, the Unite</w:t>
      </w:r>
      <w:r w:rsidR="001336AD" w:rsidRPr="00A124BC">
        <w:rPr>
          <w:rFonts w:ascii="Arial" w:hAnsi="Arial" w:cs="Arial"/>
          <w:sz w:val="23"/>
          <w:szCs w:val="23"/>
        </w:rPr>
        <w:t xml:space="preserve">d States, has seen </w:t>
      </w:r>
      <w:r w:rsidR="00082315" w:rsidRPr="00A124BC">
        <w:rPr>
          <w:rFonts w:ascii="Arial" w:hAnsi="Arial" w:cs="Arial"/>
          <w:sz w:val="23"/>
          <w:szCs w:val="23"/>
        </w:rPr>
        <w:t>prices fall by around only US$15 per tonne</w:t>
      </w:r>
      <w:r w:rsidR="001336AD" w:rsidRPr="00A124BC">
        <w:rPr>
          <w:rFonts w:ascii="Arial" w:hAnsi="Arial" w:cs="Arial"/>
          <w:sz w:val="23"/>
          <w:szCs w:val="23"/>
        </w:rPr>
        <w:t xml:space="preserve"> (source: ITC market price information)</w:t>
      </w:r>
      <w:r w:rsidR="00082315" w:rsidRPr="00A124BC">
        <w:rPr>
          <w:rFonts w:ascii="Arial" w:hAnsi="Arial" w:cs="Arial"/>
          <w:sz w:val="23"/>
          <w:szCs w:val="23"/>
        </w:rPr>
        <w:t>.</w:t>
      </w:r>
    </w:p>
    <w:p w14:paraId="7E8C1680" w14:textId="77777777" w:rsidR="00082315" w:rsidRPr="00A124BC" w:rsidRDefault="00082315" w:rsidP="00A91836">
      <w:pPr>
        <w:jc w:val="both"/>
        <w:rPr>
          <w:rFonts w:ascii="Arial" w:hAnsi="Arial" w:cs="Arial"/>
          <w:sz w:val="23"/>
          <w:szCs w:val="23"/>
        </w:rPr>
      </w:pPr>
    </w:p>
    <w:p w14:paraId="3D99A09E" w14:textId="1927A18B" w:rsidR="00A91836" w:rsidRPr="00A124BC" w:rsidRDefault="00082315" w:rsidP="00082315">
      <w:pPr>
        <w:jc w:val="both"/>
        <w:rPr>
          <w:rFonts w:ascii="Arial" w:hAnsi="Arial" w:cs="Arial"/>
          <w:sz w:val="23"/>
          <w:szCs w:val="23"/>
        </w:rPr>
      </w:pPr>
      <w:r w:rsidRPr="00A124BC">
        <w:rPr>
          <w:rFonts w:ascii="Arial" w:hAnsi="Arial" w:cs="Arial"/>
          <w:sz w:val="23"/>
          <w:szCs w:val="23"/>
        </w:rPr>
        <w:t xml:space="preserve">What these three products show us is the importance of having a diverse agricultural export portfolio. If Nigeria was exporting ginger, soya beans and rice in large quantities, then the ill effects of covid-19 on the agricultural export sector would be far less. NEPC will continue and indeed prioritise the emergence of new agricultural export products to ensure that Nigeria is more robust to shocks such as the covid-19 pandemic. </w:t>
      </w:r>
      <w:r w:rsidR="00A91836" w:rsidRPr="00A124BC">
        <w:rPr>
          <w:rFonts w:ascii="Arial" w:hAnsi="Arial" w:cs="Arial"/>
          <w:sz w:val="23"/>
          <w:szCs w:val="23"/>
        </w:rPr>
        <w:t xml:space="preserve"> </w:t>
      </w:r>
    </w:p>
    <w:p w14:paraId="13B14234" w14:textId="77777777" w:rsidR="002058DC" w:rsidRDefault="002058DC" w:rsidP="00082315">
      <w:pPr>
        <w:jc w:val="both"/>
        <w:rPr>
          <w:rFonts w:ascii="Arial" w:hAnsi="Arial" w:cs="Arial"/>
          <w:sz w:val="24"/>
          <w:szCs w:val="24"/>
        </w:rPr>
      </w:pPr>
    </w:p>
    <w:p w14:paraId="0D6F881A" w14:textId="44B16791" w:rsidR="002058DC" w:rsidRPr="00A124BC" w:rsidRDefault="00871E57" w:rsidP="002058DC">
      <w:pPr>
        <w:ind w:firstLine="720"/>
        <w:rPr>
          <w:color w:val="008000"/>
          <w:sz w:val="28"/>
          <w:szCs w:val="28"/>
        </w:rPr>
      </w:pPr>
      <w:r w:rsidRPr="00A124BC">
        <w:rPr>
          <w:color w:val="008000"/>
          <w:sz w:val="28"/>
          <w:szCs w:val="28"/>
        </w:rPr>
        <w:t>b</w:t>
      </w:r>
      <w:r w:rsidR="002058DC" w:rsidRPr="00A124BC">
        <w:rPr>
          <w:color w:val="008000"/>
          <w:sz w:val="28"/>
          <w:szCs w:val="28"/>
        </w:rPr>
        <w:t>)</w:t>
      </w:r>
      <w:r w:rsidR="002058DC" w:rsidRPr="00A124BC">
        <w:rPr>
          <w:sz w:val="28"/>
          <w:szCs w:val="28"/>
        </w:rPr>
        <w:t xml:space="preserve"> </w:t>
      </w:r>
      <w:r w:rsidR="002058DC" w:rsidRPr="00A124BC">
        <w:rPr>
          <w:i/>
          <w:color w:val="008000"/>
          <w:sz w:val="28"/>
          <w:szCs w:val="28"/>
        </w:rPr>
        <w:t>Value Addition</w:t>
      </w:r>
    </w:p>
    <w:p w14:paraId="120E1F8B" w14:textId="77777777" w:rsidR="002058DC" w:rsidRDefault="002058DC" w:rsidP="002058DC">
      <w:pPr>
        <w:rPr>
          <w:color w:val="008000"/>
          <w:sz w:val="30"/>
          <w:szCs w:val="30"/>
        </w:rPr>
      </w:pPr>
    </w:p>
    <w:p w14:paraId="68F2BA85" w14:textId="5BA76EB5" w:rsidR="0097397B" w:rsidRPr="00A124BC" w:rsidRDefault="00D0036C" w:rsidP="00133593">
      <w:pPr>
        <w:jc w:val="both"/>
        <w:rPr>
          <w:rFonts w:ascii="Arial" w:hAnsi="Arial" w:cs="Arial"/>
          <w:sz w:val="23"/>
          <w:szCs w:val="23"/>
        </w:rPr>
      </w:pPr>
      <w:r w:rsidRPr="00A124BC">
        <w:rPr>
          <w:rFonts w:ascii="Arial" w:hAnsi="Arial" w:cs="Arial"/>
          <w:sz w:val="23"/>
          <w:szCs w:val="23"/>
        </w:rPr>
        <w:t xml:space="preserve">The future of Nigeria’s agricultural export sector lies in agro-processing. Value addition to our major exportable products </w:t>
      </w:r>
      <w:r w:rsidR="00F41906" w:rsidRPr="00A124BC">
        <w:rPr>
          <w:rFonts w:ascii="Arial" w:hAnsi="Arial" w:cs="Arial"/>
          <w:sz w:val="23"/>
          <w:szCs w:val="23"/>
        </w:rPr>
        <w:t>is critical as it help</w:t>
      </w:r>
      <w:r w:rsidR="00104D9B">
        <w:rPr>
          <w:rFonts w:ascii="Arial" w:hAnsi="Arial" w:cs="Arial"/>
          <w:sz w:val="23"/>
          <w:szCs w:val="23"/>
        </w:rPr>
        <w:t>s</w:t>
      </w:r>
      <w:r w:rsidR="00F41906" w:rsidRPr="00A124BC">
        <w:rPr>
          <w:rFonts w:ascii="Arial" w:hAnsi="Arial" w:cs="Arial"/>
          <w:sz w:val="23"/>
          <w:szCs w:val="23"/>
        </w:rPr>
        <w:t xml:space="preserve"> </w:t>
      </w:r>
      <w:r w:rsidRPr="00A124BC">
        <w:rPr>
          <w:rFonts w:ascii="Arial" w:hAnsi="Arial" w:cs="Arial"/>
          <w:sz w:val="23"/>
          <w:szCs w:val="23"/>
        </w:rPr>
        <w:t xml:space="preserve">absorb excess supply resulting from low demand from traditional markets. It would also reduce exposure to the volatile price shocks of commodities as witnessed in this pandemic. Most importantly, however, value addition ensures greater foreign exchange generation and employment within Nigeria itself. </w:t>
      </w:r>
    </w:p>
    <w:p w14:paraId="393D20E5" w14:textId="77777777" w:rsidR="0097397B" w:rsidRPr="00A124BC" w:rsidRDefault="0097397B" w:rsidP="00133593">
      <w:pPr>
        <w:jc w:val="both"/>
        <w:rPr>
          <w:rFonts w:ascii="Arial" w:hAnsi="Arial" w:cs="Arial"/>
          <w:sz w:val="23"/>
          <w:szCs w:val="23"/>
        </w:rPr>
      </w:pPr>
    </w:p>
    <w:p w14:paraId="41B4960A" w14:textId="77777777" w:rsidR="0097397B" w:rsidRPr="00A124BC" w:rsidRDefault="0097397B" w:rsidP="00133593">
      <w:pPr>
        <w:jc w:val="both"/>
        <w:rPr>
          <w:rFonts w:ascii="Arial" w:hAnsi="Arial" w:cs="Arial"/>
          <w:sz w:val="23"/>
          <w:szCs w:val="23"/>
        </w:rPr>
      </w:pPr>
      <w:r w:rsidRPr="00A124BC">
        <w:rPr>
          <w:rFonts w:ascii="Arial" w:hAnsi="Arial" w:cs="Arial"/>
          <w:sz w:val="23"/>
          <w:szCs w:val="23"/>
        </w:rPr>
        <w:t xml:space="preserve">Looking at the example of cashew, Nigeria exports thousands of jobs to Viet Nam every year, where the raw cashew is processed. This puts Nigeria at the mercy of the decision of Viet Nam cashew processors and as has been discussed, these processors are likely to be reluctant to commit to significant orders in this pandemic. If more processing was done within Nigeria, this type of situation and overreliance </w:t>
      </w:r>
      <w:r w:rsidRPr="00A124BC">
        <w:rPr>
          <w:rFonts w:ascii="Arial" w:hAnsi="Arial" w:cs="Arial"/>
          <w:sz w:val="23"/>
          <w:szCs w:val="23"/>
        </w:rPr>
        <w:t>on one traditional market would be avoided (not to mention the increase in employment and foreign exchange earnings).</w:t>
      </w:r>
    </w:p>
    <w:p w14:paraId="666613DB" w14:textId="77777777" w:rsidR="0097397B" w:rsidRPr="00A124BC" w:rsidRDefault="0097397B" w:rsidP="00133593">
      <w:pPr>
        <w:jc w:val="both"/>
        <w:rPr>
          <w:rFonts w:ascii="Arial" w:hAnsi="Arial" w:cs="Arial"/>
          <w:sz w:val="23"/>
          <w:szCs w:val="23"/>
        </w:rPr>
      </w:pPr>
    </w:p>
    <w:p w14:paraId="12457393" w14:textId="0C16AE39" w:rsidR="002058DC" w:rsidRPr="00A124BC" w:rsidRDefault="00133593" w:rsidP="00082315">
      <w:pPr>
        <w:jc w:val="both"/>
        <w:rPr>
          <w:color w:val="008000"/>
          <w:sz w:val="23"/>
          <w:szCs w:val="23"/>
        </w:rPr>
      </w:pPr>
      <w:r w:rsidRPr="00A124BC">
        <w:rPr>
          <w:rFonts w:ascii="Arial" w:hAnsi="Arial" w:cs="Arial"/>
          <w:sz w:val="23"/>
          <w:szCs w:val="23"/>
        </w:rPr>
        <w:t>NEPC will support SMEs and MSMEs looking to move away from exporting agricultural raw materials and into processed goods through a variety of interventions including certification training, facilitating market linkag</w:t>
      </w:r>
      <w:r w:rsidR="00104D9B">
        <w:rPr>
          <w:rFonts w:ascii="Arial" w:hAnsi="Arial" w:cs="Arial"/>
          <w:sz w:val="23"/>
          <w:szCs w:val="23"/>
        </w:rPr>
        <w:t>es, and partnerships with both S</w:t>
      </w:r>
      <w:r w:rsidRPr="00A124BC">
        <w:rPr>
          <w:rFonts w:ascii="Arial" w:hAnsi="Arial" w:cs="Arial"/>
          <w:sz w:val="23"/>
          <w:szCs w:val="23"/>
        </w:rPr>
        <w:t xml:space="preserve">tate and commercial banks.   </w:t>
      </w:r>
      <w:r w:rsidR="0097397B" w:rsidRPr="00A124BC">
        <w:rPr>
          <w:rFonts w:ascii="Arial" w:hAnsi="Arial" w:cs="Arial"/>
          <w:sz w:val="23"/>
          <w:szCs w:val="23"/>
        </w:rPr>
        <w:t xml:space="preserve">     </w:t>
      </w:r>
      <w:r w:rsidR="00D0036C" w:rsidRPr="00A124BC">
        <w:rPr>
          <w:rFonts w:ascii="Arial" w:hAnsi="Arial" w:cs="Arial"/>
          <w:sz w:val="23"/>
          <w:szCs w:val="23"/>
        </w:rPr>
        <w:t xml:space="preserve"> </w:t>
      </w:r>
    </w:p>
    <w:p w14:paraId="2ECF4AD6" w14:textId="1D359ECF" w:rsidR="00A30351" w:rsidRPr="00A124BC" w:rsidRDefault="00F41906" w:rsidP="00D60C65">
      <w:pPr>
        <w:pStyle w:val="Heading2"/>
        <w:spacing w:after="0"/>
        <w:jc w:val="both"/>
        <w:rPr>
          <w:color w:val="008000"/>
        </w:rPr>
      </w:pPr>
      <w:r w:rsidRPr="00A124BC">
        <w:rPr>
          <w:color w:val="008000"/>
        </w:rPr>
        <w:t>5</w:t>
      </w:r>
      <w:r w:rsidR="00074721" w:rsidRPr="00A124BC">
        <w:rPr>
          <w:color w:val="008000"/>
        </w:rPr>
        <w:t xml:space="preserve">. </w:t>
      </w:r>
      <w:r w:rsidR="00AD2B3A" w:rsidRPr="00A124BC">
        <w:rPr>
          <w:color w:val="008000"/>
        </w:rPr>
        <w:t>Conclusion</w:t>
      </w:r>
    </w:p>
    <w:p w14:paraId="52DC7229" w14:textId="15CD6497" w:rsidR="00A30351" w:rsidRDefault="00A30351" w:rsidP="00E9341E">
      <w:pPr>
        <w:jc w:val="both"/>
        <w:rPr>
          <w:rFonts w:ascii="Arial" w:hAnsi="Arial" w:cs="Arial"/>
        </w:rPr>
      </w:pPr>
    </w:p>
    <w:p w14:paraId="1563E817" w14:textId="5D26712F" w:rsidR="00082315" w:rsidRPr="00A124BC" w:rsidRDefault="00AD2B3A" w:rsidP="00E9341E">
      <w:pPr>
        <w:jc w:val="both"/>
        <w:rPr>
          <w:sz w:val="23"/>
          <w:szCs w:val="23"/>
        </w:rPr>
      </w:pPr>
      <w:r w:rsidRPr="00A124BC">
        <w:rPr>
          <w:sz w:val="23"/>
          <w:szCs w:val="23"/>
        </w:rPr>
        <w:t xml:space="preserve">This impact assessment by NEPC has shown that the agricultural export sector is at major risk following the covid-19 pandemic. Nigeria’s biggest non-oil </w:t>
      </w:r>
      <w:r w:rsidR="00F63CBF" w:rsidRPr="00A124BC">
        <w:rPr>
          <w:sz w:val="23"/>
          <w:szCs w:val="23"/>
        </w:rPr>
        <w:t xml:space="preserve">foreign exchange </w:t>
      </w:r>
      <w:r w:rsidRPr="00A124BC">
        <w:rPr>
          <w:sz w:val="23"/>
          <w:szCs w:val="23"/>
        </w:rPr>
        <w:t>earner, cocoa, is particularly vulnerable with a dramatic fall in prices. With the bulk of Nigerian cocoa going to Europe, prices could fall further as demand plummets</w:t>
      </w:r>
      <w:r w:rsidR="003C13C0" w:rsidRPr="00A124BC">
        <w:rPr>
          <w:sz w:val="23"/>
          <w:szCs w:val="23"/>
        </w:rPr>
        <w:t>, meaning the anticipated loss of US$110.8 million could in fact, worryingly, become larger in magnitude</w:t>
      </w:r>
      <w:r w:rsidRPr="00A124BC">
        <w:rPr>
          <w:sz w:val="23"/>
          <w:szCs w:val="23"/>
        </w:rPr>
        <w:t xml:space="preserve">. Sesame exports are likely to prove more resilient due to diversified export markets and more stable prices, whilst cashew exports are vulnerable to falling demand in Viet Nam. </w:t>
      </w:r>
    </w:p>
    <w:p w14:paraId="7F8B64A5" w14:textId="77777777" w:rsidR="00082315" w:rsidRPr="00A124BC" w:rsidRDefault="00082315" w:rsidP="00E9341E">
      <w:pPr>
        <w:jc w:val="both"/>
        <w:rPr>
          <w:sz w:val="23"/>
          <w:szCs w:val="23"/>
        </w:rPr>
      </w:pPr>
    </w:p>
    <w:p w14:paraId="6B1B11F8" w14:textId="7E7E26CE" w:rsidR="002639CB" w:rsidRPr="00A124BC" w:rsidRDefault="00DD03D0" w:rsidP="00E9341E">
      <w:pPr>
        <w:jc w:val="both"/>
        <w:rPr>
          <w:sz w:val="23"/>
          <w:szCs w:val="23"/>
        </w:rPr>
      </w:pPr>
      <w:r>
        <w:rPr>
          <w:sz w:val="23"/>
          <w:szCs w:val="23"/>
        </w:rPr>
        <w:t xml:space="preserve">The Federal Government should as a matter of urgency commence full implementation of the Zero Oil plan as a precondition for sustainable economic growth and diversification of the economy. </w:t>
      </w:r>
      <w:r w:rsidR="00082315" w:rsidRPr="00A124BC">
        <w:rPr>
          <w:sz w:val="23"/>
          <w:szCs w:val="23"/>
        </w:rPr>
        <w:t>NEPC will continue its efforts in addressing the logistical challenges facing export</w:t>
      </w:r>
      <w:r w:rsidR="00104D9B">
        <w:rPr>
          <w:sz w:val="23"/>
          <w:szCs w:val="23"/>
        </w:rPr>
        <w:t>er</w:t>
      </w:r>
      <w:r w:rsidR="00082315" w:rsidRPr="00A124BC">
        <w:rPr>
          <w:sz w:val="23"/>
          <w:szCs w:val="23"/>
        </w:rPr>
        <w:t>s currently, as well as promoting a diversification of Nigeria’s agricultural export base. We are</w:t>
      </w:r>
      <w:r w:rsidR="00AD2B3A" w:rsidRPr="00A124BC">
        <w:rPr>
          <w:sz w:val="23"/>
          <w:szCs w:val="23"/>
        </w:rPr>
        <w:t xml:space="preserve"> putting</w:t>
      </w:r>
      <w:r w:rsidR="00082315" w:rsidRPr="00A124BC">
        <w:rPr>
          <w:sz w:val="23"/>
          <w:szCs w:val="23"/>
        </w:rPr>
        <w:t xml:space="preserve"> all our </w:t>
      </w:r>
      <w:r w:rsidR="00AD2B3A" w:rsidRPr="00A124BC">
        <w:rPr>
          <w:sz w:val="23"/>
          <w:szCs w:val="23"/>
        </w:rPr>
        <w:t xml:space="preserve">manpower into </w:t>
      </w:r>
      <w:r w:rsidR="00082315" w:rsidRPr="00A124BC">
        <w:rPr>
          <w:sz w:val="23"/>
          <w:szCs w:val="23"/>
        </w:rPr>
        <w:t>implementing</w:t>
      </w:r>
      <w:r w:rsidR="00AD2B3A" w:rsidRPr="00A124BC">
        <w:rPr>
          <w:sz w:val="23"/>
          <w:szCs w:val="23"/>
        </w:rPr>
        <w:t xml:space="preserve"> policies that will ease the burden on exporters.</w:t>
      </w:r>
      <w:r w:rsidR="00082315" w:rsidRPr="00A124BC">
        <w:rPr>
          <w:sz w:val="23"/>
          <w:szCs w:val="23"/>
        </w:rPr>
        <w:t xml:space="preserve"> </w:t>
      </w:r>
      <w:r w:rsidR="00AD2B3A" w:rsidRPr="00A124BC">
        <w:rPr>
          <w:sz w:val="23"/>
          <w:szCs w:val="23"/>
        </w:rPr>
        <w:t xml:space="preserve">   </w:t>
      </w:r>
    </w:p>
    <w:p w14:paraId="1FA3DB09" w14:textId="77777777" w:rsidR="002235BA" w:rsidRDefault="002235BA" w:rsidP="00E9341E">
      <w:pPr>
        <w:jc w:val="both"/>
        <w:rPr>
          <w:sz w:val="23"/>
          <w:szCs w:val="23"/>
        </w:rPr>
      </w:pPr>
    </w:p>
    <w:p w14:paraId="46715D63" w14:textId="709411ED" w:rsidR="002235BA" w:rsidRDefault="002235BA" w:rsidP="002235BA">
      <w:pPr>
        <w:jc w:val="both"/>
        <w:rPr>
          <w:rFonts w:ascii="Arial" w:eastAsia="Calibri" w:hAnsi="Arial" w:cs="Arial"/>
          <w:sz w:val="18"/>
          <w:szCs w:val="18"/>
        </w:rPr>
      </w:pPr>
      <w:r>
        <w:rPr>
          <w:rFonts w:ascii="Arial" w:eastAsia="Calibri" w:hAnsi="Arial" w:cs="Arial"/>
          <w:sz w:val="18"/>
          <w:szCs w:val="18"/>
        </w:rPr>
        <w:t xml:space="preserve">Comments welcome to </w:t>
      </w:r>
      <w:hyperlink r:id="rId20" w:history="1">
        <w:r w:rsidR="002058DC" w:rsidRPr="000E344D">
          <w:rPr>
            <w:rStyle w:val="Hyperlink"/>
            <w:rFonts w:ascii="Arial" w:eastAsia="Calibri" w:hAnsi="Arial" w:cs="Arial"/>
            <w:sz w:val="18"/>
            <w:szCs w:val="18"/>
          </w:rPr>
          <w:t>ceo@nepc.gov.ng</w:t>
        </w:r>
      </w:hyperlink>
      <w:r>
        <w:rPr>
          <w:rFonts w:ascii="Arial" w:eastAsia="Calibri" w:hAnsi="Arial" w:cs="Arial"/>
          <w:sz w:val="18"/>
          <w:szCs w:val="18"/>
        </w:rPr>
        <w:t xml:space="preserve">  </w:t>
      </w:r>
    </w:p>
    <w:p w14:paraId="6775B4D2" w14:textId="77777777" w:rsidR="00104D9B" w:rsidRDefault="00104D9B" w:rsidP="002235BA">
      <w:pPr>
        <w:jc w:val="both"/>
        <w:rPr>
          <w:rFonts w:ascii="Arial" w:eastAsia="Calibri" w:hAnsi="Arial" w:cs="Arial"/>
          <w:sz w:val="18"/>
          <w:szCs w:val="18"/>
        </w:rPr>
      </w:pPr>
    </w:p>
    <w:p w14:paraId="1357E0FC" w14:textId="77777777" w:rsidR="00A124BC" w:rsidRPr="00086FE1" w:rsidRDefault="00A124BC" w:rsidP="002235BA">
      <w:pPr>
        <w:jc w:val="both"/>
        <w:rPr>
          <w:rFonts w:ascii="Arial" w:eastAsia="Calibri" w:hAnsi="Arial" w:cs="Arial"/>
          <w:sz w:val="18"/>
          <w:szCs w:val="18"/>
        </w:rPr>
      </w:pPr>
    </w:p>
    <w:p w14:paraId="6C16BC43" w14:textId="77777777" w:rsidR="002235BA" w:rsidRDefault="002235BA" w:rsidP="00E9341E">
      <w:pPr>
        <w:jc w:val="both"/>
        <w:rPr>
          <w:sz w:val="23"/>
          <w:szCs w:val="23"/>
        </w:rPr>
      </w:pPr>
    </w:p>
    <w:p w14:paraId="54C1A6D7" w14:textId="242A6C9C" w:rsidR="00A124BC" w:rsidRPr="006C39CA" w:rsidRDefault="00A124BC" w:rsidP="00E9341E">
      <w:pPr>
        <w:jc w:val="both"/>
        <w:rPr>
          <w:sz w:val="23"/>
          <w:szCs w:val="23"/>
        </w:rPr>
      </w:pPr>
      <w:r w:rsidRPr="00C13488">
        <w:rPr>
          <w:rFonts w:ascii="Arial" w:hAnsi="Arial"/>
          <w:noProof/>
          <w:lang w:val="en-US"/>
        </w:rPr>
        <w:drawing>
          <wp:inline distT="0" distB="0" distL="0" distR="0" wp14:anchorId="0A9562BC" wp14:editId="5C60A748">
            <wp:extent cx="3055461" cy="12674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21">
                      <a:alphaModFix amt="58000"/>
                      <a:extLst>
                        <a:ext uri="{28A0092B-C50C-407E-A947-70E740481C1C}">
                          <a14:useLocalDpi xmlns:a14="http://schemas.microsoft.com/office/drawing/2010/main" val="0"/>
                        </a:ext>
                      </a:extLst>
                    </a:blip>
                    <a:srcRect/>
                    <a:stretch>
                      <a:fillRect/>
                    </a:stretch>
                  </pic:blipFill>
                  <pic:spPr bwMode="auto">
                    <a:xfrm>
                      <a:off x="0" y="0"/>
                      <a:ext cx="3073299" cy="1274859"/>
                    </a:xfrm>
                    <a:prstGeom prst="rect">
                      <a:avLst/>
                    </a:prstGeom>
                    <a:noFill/>
                    <a:ln>
                      <a:noFill/>
                    </a:ln>
                  </pic:spPr>
                </pic:pic>
              </a:graphicData>
            </a:graphic>
          </wp:inline>
        </w:drawing>
      </w:r>
    </w:p>
    <w:sectPr w:rsidR="00A124BC" w:rsidRPr="006C39CA" w:rsidSect="00524845">
      <w:type w:val="continuous"/>
      <w:pgSz w:w="11900" w:h="16840"/>
      <w:pgMar w:top="1418" w:right="701" w:bottom="851" w:left="709" w:header="426" w:footer="720" w:gutter="0"/>
      <w:pgNumType w:start="1"/>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205E8" w14:textId="77777777" w:rsidR="009943AF" w:rsidRDefault="009943AF" w:rsidP="00157A70">
      <w:r>
        <w:separator/>
      </w:r>
    </w:p>
    <w:p w14:paraId="46698C7E" w14:textId="77777777" w:rsidR="009943AF" w:rsidRDefault="009943AF" w:rsidP="00157A70"/>
    <w:p w14:paraId="5A3F9750" w14:textId="77777777" w:rsidR="009943AF" w:rsidRDefault="009943AF" w:rsidP="00157A70"/>
    <w:p w14:paraId="549CB439" w14:textId="77777777" w:rsidR="009943AF" w:rsidRDefault="009943AF" w:rsidP="00157A70"/>
    <w:p w14:paraId="1ABAD895" w14:textId="77777777" w:rsidR="009943AF" w:rsidRDefault="009943AF" w:rsidP="00157A70"/>
    <w:p w14:paraId="0D1398DC" w14:textId="77777777" w:rsidR="009943AF" w:rsidRDefault="009943AF" w:rsidP="00157A70"/>
    <w:p w14:paraId="43DBE366" w14:textId="77777777" w:rsidR="009943AF" w:rsidRDefault="009943AF" w:rsidP="00157A70"/>
  </w:endnote>
  <w:endnote w:type="continuationSeparator" w:id="0">
    <w:p w14:paraId="1B7665F6" w14:textId="77777777" w:rsidR="009943AF" w:rsidRDefault="009943AF" w:rsidP="00157A70">
      <w:r>
        <w:continuationSeparator/>
      </w:r>
    </w:p>
    <w:p w14:paraId="28325C98" w14:textId="77777777" w:rsidR="009943AF" w:rsidRDefault="009943AF" w:rsidP="00157A70"/>
    <w:p w14:paraId="2F16FEF9" w14:textId="77777777" w:rsidR="009943AF" w:rsidRDefault="009943AF" w:rsidP="00157A70"/>
    <w:p w14:paraId="20406270" w14:textId="77777777" w:rsidR="009943AF" w:rsidRDefault="009943AF" w:rsidP="00157A70"/>
    <w:p w14:paraId="610D1D34" w14:textId="77777777" w:rsidR="009943AF" w:rsidRDefault="009943AF" w:rsidP="00157A70"/>
    <w:p w14:paraId="4F264EC6" w14:textId="77777777" w:rsidR="009943AF" w:rsidRDefault="009943AF" w:rsidP="00157A70"/>
    <w:p w14:paraId="0BA8D794" w14:textId="77777777" w:rsidR="009943AF" w:rsidRDefault="009943AF" w:rsidP="00157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Times New Roman"/>
    <w:charset w:val="00"/>
    <w:family w:val="auto"/>
    <w:pitch w:val="variable"/>
    <w:sig w:usb0="00000001" w:usb1="00000001" w:usb2="00000000" w:usb3="00000000" w:csb0="0000019F" w:csb1="00000000"/>
  </w:font>
  <w:font w:name="Lucida Grande">
    <w:charset w:val="00"/>
    <w:family w:val="auto"/>
    <w:pitch w:val="variable"/>
    <w:sig w:usb0="E1000AEF" w:usb1="5000A1FF" w:usb2="00000000" w:usb3="00000000" w:csb0="000001BF" w:csb1="00000000"/>
  </w:font>
  <w:font w:name="MetaNormal-Roman">
    <w:charset w:val="00"/>
    <w:family w:val="auto"/>
    <w:pitch w:val="variable"/>
    <w:sig w:usb0="00000003" w:usb1="00000000" w:usb2="00000000" w:usb3="00000000" w:csb0="00000001" w:csb1="00000000"/>
  </w:font>
  <w:font w:name="MetaBold-Roman">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aunPenh">
    <w:charset w:val="00"/>
    <w:family w:val="auto"/>
    <w:pitch w:val="variable"/>
    <w:sig w:usb0="80000003" w:usb1="00000000" w:usb2="00010000" w:usb3="00000000" w:csb0="00000001" w:csb1="00000000"/>
  </w:font>
  <w:font w:name="Times">
    <w:panose1 w:val="00000000000000000000"/>
    <w:charset w:val="4D"/>
    <w:family w:val="roman"/>
    <w:notTrueType/>
    <w:pitch w:val="variable"/>
    <w:sig w:usb0="00000003" w:usb1="00000000" w:usb2="00000000" w:usb3="00000000" w:csb0="00000001" w:csb1="00000000"/>
  </w:font>
  <w:font w:name="Shruti">
    <w:altName w:val="Shruti"/>
    <w:panose1 w:val="02000500000000000000"/>
    <w:charset w:val="00"/>
    <w:family w:val="swiss"/>
    <w:pitch w:val="variable"/>
    <w:sig w:usb0="00040003" w:usb1="00000000" w:usb2="00000000" w:usb3="00000000" w:csb0="00000001" w:csb1="00000000"/>
  </w:font>
  <w:font w:name="Helvetica">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CCDD" w14:textId="77777777" w:rsidR="00104D9B" w:rsidRDefault="00104D9B" w:rsidP="005248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911D4" w14:textId="77777777" w:rsidR="00104D9B" w:rsidRDefault="00104D9B" w:rsidP="00DA38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C8054" w14:textId="77777777" w:rsidR="00104D9B" w:rsidRDefault="00104D9B" w:rsidP="00CF3D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430B">
      <w:rPr>
        <w:rStyle w:val="PageNumber"/>
        <w:noProof/>
      </w:rPr>
      <w:t>5</w:t>
    </w:r>
    <w:r>
      <w:rPr>
        <w:rStyle w:val="PageNumber"/>
      </w:rPr>
      <w:fldChar w:fldCharType="end"/>
    </w:r>
  </w:p>
  <w:p w14:paraId="65FBB1BE" w14:textId="526F816D" w:rsidR="00104D9B" w:rsidRDefault="00104D9B" w:rsidP="00DA38E2">
    <w:pPr>
      <w:pStyle w:val="Footer"/>
      <w:ind w:right="360"/>
      <w:jc w:val="center"/>
    </w:pPr>
  </w:p>
  <w:p w14:paraId="7A109BBB" w14:textId="34DB8EA2" w:rsidR="00104D9B" w:rsidRPr="00753ACA" w:rsidRDefault="00104D9B" w:rsidP="00157A70">
    <w:pPr>
      <w:pStyle w:val="Footer"/>
      <w:rPr>
        <w:bCs/>
        <w:color w:val="FFFFFF" w:themeColor="background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2E132" w14:textId="1BCA5723" w:rsidR="00104D9B" w:rsidRPr="005807AA" w:rsidRDefault="00104D9B" w:rsidP="000A06B4">
    <w:pPr>
      <w:pStyle w:val="Footer"/>
      <w:ind w:right="360"/>
      <w:jc w:val="center"/>
      <w:rPr>
        <w:color w:val="361C7F" w:themeColor="text2"/>
        <w:sz w:val="16"/>
      </w:rPr>
    </w:pPr>
  </w:p>
  <w:p w14:paraId="1573E6C0" w14:textId="77777777" w:rsidR="00104D9B" w:rsidRPr="004F21D4" w:rsidRDefault="00104D9B" w:rsidP="00157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A9488" w14:textId="77777777" w:rsidR="009943AF" w:rsidRDefault="009943AF" w:rsidP="00157A70"/>
    <w:p w14:paraId="76412395" w14:textId="77777777" w:rsidR="009943AF" w:rsidRDefault="009943AF" w:rsidP="00157A70"/>
  </w:footnote>
  <w:footnote w:type="continuationSeparator" w:id="0">
    <w:p w14:paraId="41B61563" w14:textId="77777777" w:rsidR="009943AF" w:rsidRDefault="009943AF" w:rsidP="00157A70">
      <w:r>
        <w:continuationSeparator/>
      </w:r>
    </w:p>
    <w:p w14:paraId="015F420C" w14:textId="77777777" w:rsidR="009943AF" w:rsidRDefault="009943AF" w:rsidP="00157A70"/>
    <w:p w14:paraId="3E7579FC" w14:textId="77777777" w:rsidR="009943AF" w:rsidRDefault="009943AF" w:rsidP="00157A70"/>
    <w:p w14:paraId="3BD59828" w14:textId="77777777" w:rsidR="009943AF" w:rsidRDefault="009943AF" w:rsidP="00157A70"/>
    <w:p w14:paraId="0C3B1325" w14:textId="77777777" w:rsidR="009943AF" w:rsidRDefault="009943AF" w:rsidP="00157A70"/>
    <w:p w14:paraId="515A3966" w14:textId="77777777" w:rsidR="009943AF" w:rsidRDefault="009943AF" w:rsidP="00157A70"/>
    <w:p w14:paraId="0D58D86C" w14:textId="77777777" w:rsidR="009943AF" w:rsidRDefault="009943AF" w:rsidP="00157A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AF4E4" w14:textId="3F381D41" w:rsidR="00104D9B" w:rsidRPr="00753ACA" w:rsidRDefault="00104D9B" w:rsidP="00157A70">
    <w:pPr>
      <w:rPr>
        <w:color w:val="FFFFFF" w:themeColor="background1"/>
      </w:rPr>
    </w:pPr>
  </w:p>
  <w:p w14:paraId="1891B34F" w14:textId="3C4170C6" w:rsidR="00104D9B" w:rsidRPr="00753ACA" w:rsidRDefault="00104D9B" w:rsidP="00157A70">
    <w:pPr>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67961" w14:textId="1A8A31C8" w:rsidR="00104D9B" w:rsidRDefault="00104D9B" w:rsidP="004D2219">
    <w:pPr>
      <w:pStyle w:val="Header"/>
      <w:jc w:val="center"/>
      <w:rPr>
        <w:rFonts w:ascii="Shruti" w:hAnsi="Shruti" w:cs="Shruti" w:hint="eastAsia"/>
        <w:b/>
        <w:bCs/>
        <w:noProof/>
        <w:color w:val="000000"/>
        <w:sz w:val="8"/>
        <w:szCs w:val="8"/>
      </w:rPr>
    </w:pPr>
    <w:r w:rsidRPr="00C13488">
      <w:rPr>
        <w:rFonts w:ascii="Arial" w:hAnsi="Arial"/>
        <w:noProof/>
        <w:lang w:val="en-US"/>
      </w:rPr>
      <w:drawing>
        <wp:inline distT="0" distB="0" distL="0" distR="0" wp14:anchorId="42A48B57" wp14:editId="7E490DBC">
          <wp:extent cx="2383951" cy="988907"/>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4052" cy="993097"/>
                  </a:xfrm>
                  <a:prstGeom prst="rect">
                    <a:avLst/>
                  </a:prstGeom>
                  <a:noFill/>
                  <a:ln>
                    <a:noFill/>
                  </a:ln>
                </pic:spPr>
              </pic:pic>
            </a:graphicData>
          </a:graphic>
        </wp:inline>
      </w:drawing>
    </w:r>
  </w:p>
  <w:p w14:paraId="04E02DFD" w14:textId="77777777" w:rsidR="00104D9B" w:rsidRDefault="00104D9B">
    <w:pPr>
      <w:pStyle w:val="Header"/>
      <w:rPr>
        <w:b/>
        <w:color w:val="361C7F" w:themeColor="text2"/>
        <w:sz w:val="24"/>
      </w:rPr>
    </w:pPr>
    <w:r w:rsidRPr="004B2787">
      <w:rPr>
        <w:b/>
        <w:color w:val="361C7F" w:themeColor="text2"/>
        <w:sz w:val="24"/>
      </w:rPr>
      <w:tab/>
    </w:r>
    <w:r w:rsidRPr="004B2787">
      <w:rPr>
        <w:b/>
        <w:color w:val="361C7F" w:themeColor="text2"/>
        <w:sz w:val="24"/>
      </w:rPr>
      <w:tab/>
    </w:r>
  </w:p>
  <w:p w14:paraId="591E8EF7" w14:textId="6387C9D5" w:rsidR="00104D9B" w:rsidRPr="004B2787" w:rsidRDefault="00104D9B" w:rsidP="004B2787">
    <w:pPr>
      <w:pStyle w:val="Header"/>
      <w:jc w:val="right"/>
      <w:rPr>
        <w:b/>
        <w:color w:val="361C7F" w:themeColor="text2"/>
        <w:sz w:val="32"/>
      </w:rPr>
    </w:pPr>
    <w:r w:rsidRPr="004B2787">
      <w:rPr>
        <w:b/>
        <w:color w:val="361C7F" w:themeColor="text2"/>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00B"/>
    <w:multiLevelType w:val="hybridMultilevel"/>
    <w:tmpl w:val="C8BC5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AE768B"/>
    <w:multiLevelType w:val="hybridMultilevel"/>
    <w:tmpl w:val="013E0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47623E"/>
    <w:multiLevelType w:val="hybridMultilevel"/>
    <w:tmpl w:val="DD885B20"/>
    <w:lvl w:ilvl="0" w:tplc="CC3491FC">
      <w:start w:val="4"/>
      <w:numFmt w:val="bullet"/>
      <w:lvlText w:val="-"/>
      <w:lvlJc w:val="left"/>
      <w:pPr>
        <w:ind w:left="720" w:hanging="360"/>
      </w:pPr>
      <w:rPr>
        <w:rFonts w:ascii="Calibri" w:eastAsia="MS Mincho"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D7E56"/>
    <w:multiLevelType w:val="hybridMultilevel"/>
    <w:tmpl w:val="FC887576"/>
    <w:lvl w:ilvl="0" w:tplc="0809000F">
      <w:start w:val="1"/>
      <w:numFmt w:val="decimal"/>
      <w:lvlText w:val="%1."/>
      <w:lvlJc w:val="left"/>
      <w:pPr>
        <w:ind w:left="360" w:hanging="360"/>
      </w:pPr>
      <w:rPr>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E3951A3"/>
    <w:multiLevelType w:val="hybridMultilevel"/>
    <w:tmpl w:val="138E894A"/>
    <w:lvl w:ilvl="0" w:tplc="63D6822A">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826F3"/>
    <w:multiLevelType w:val="hybridMultilevel"/>
    <w:tmpl w:val="03F63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5A2FF0"/>
    <w:multiLevelType w:val="hybridMultilevel"/>
    <w:tmpl w:val="AFC8F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025BD6"/>
    <w:multiLevelType w:val="hybridMultilevel"/>
    <w:tmpl w:val="C0CE59EC"/>
    <w:lvl w:ilvl="0" w:tplc="0409000F">
      <w:start w:val="1"/>
      <w:numFmt w:val="decimal"/>
      <w:lvlText w:val="%1."/>
      <w:lvlJc w:val="left"/>
      <w:pPr>
        <w:ind w:left="720" w:hanging="360"/>
      </w:pPr>
      <w:rPr>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761CB2"/>
    <w:multiLevelType w:val="hybridMultilevel"/>
    <w:tmpl w:val="0E400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D135C8"/>
    <w:multiLevelType w:val="hybridMultilevel"/>
    <w:tmpl w:val="F8A45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37274E"/>
    <w:multiLevelType w:val="hybridMultilevel"/>
    <w:tmpl w:val="423C6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C3BF4"/>
    <w:multiLevelType w:val="hybridMultilevel"/>
    <w:tmpl w:val="8D6605A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8B0C35"/>
    <w:multiLevelType w:val="hybridMultilevel"/>
    <w:tmpl w:val="F98C1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644C7"/>
    <w:multiLevelType w:val="multilevel"/>
    <w:tmpl w:val="53B487E8"/>
    <w:lvl w:ilvl="0">
      <w:start w:val="1"/>
      <w:numFmt w:val="decimal"/>
      <w:pStyle w:val="FigureHeading"/>
      <w:suff w:val="space"/>
      <w:lvlText w:val="Figure %1."/>
      <w:lvlJc w:val="left"/>
      <w:pPr>
        <w:ind w:left="851" w:firstLine="0"/>
      </w:pPr>
      <w:rPr>
        <w:rFonts w:ascii="Arial" w:hAnsi="Arial" w:hint="default"/>
        <w:b/>
        <w:i w:val="0"/>
        <w:color w:val="361C7F" w:themeColor="accent1"/>
        <w:sz w:val="24"/>
      </w:rPr>
    </w:lvl>
    <w:lvl w:ilvl="1">
      <w:start w:val="1"/>
      <w:numFmt w:val="lowerLetter"/>
      <w:lvlText w:val="%2)"/>
      <w:lvlJc w:val="left"/>
      <w:pPr>
        <w:ind w:left="4690" w:hanging="360"/>
      </w:pPr>
      <w:rPr>
        <w:rFonts w:hint="default"/>
      </w:rPr>
    </w:lvl>
    <w:lvl w:ilvl="2">
      <w:start w:val="1"/>
      <w:numFmt w:val="lowerRoman"/>
      <w:lvlText w:val="%3)"/>
      <w:lvlJc w:val="left"/>
      <w:pPr>
        <w:ind w:left="5050" w:hanging="360"/>
      </w:pPr>
      <w:rPr>
        <w:rFonts w:hint="default"/>
      </w:rPr>
    </w:lvl>
    <w:lvl w:ilvl="3">
      <w:start w:val="1"/>
      <w:numFmt w:val="decimal"/>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14" w15:restartNumberingAfterBreak="0">
    <w:nsid w:val="31CD38F9"/>
    <w:multiLevelType w:val="hybridMultilevel"/>
    <w:tmpl w:val="76D0A28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E25698"/>
    <w:multiLevelType w:val="hybridMultilevel"/>
    <w:tmpl w:val="B1406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7B0372"/>
    <w:multiLevelType w:val="multilevel"/>
    <w:tmpl w:val="51DE387C"/>
    <w:lvl w:ilvl="0">
      <w:start w:val="1"/>
      <w:numFmt w:val="decimal"/>
      <w:pStyle w:val="TableHeading"/>
      <w:suff w:val="space"/>
      <w:lvlText w:val="Table %1."/>
      <w:lvlJc w:val="left"/>
      <w:pPr>
        <w:ind w:left="360" w:hanging="360"/>
      </w:pPr>
      <w:rPr>
        <w:rFonts w:ascii="Arial" w:hAnsi="Arial" w:hint="default"/>
        <w:b/>
        <w:i w:val="0"/>
        <w:color w:val="361C7F" w:themeColor="accent1"/>
        <w:sz w:val="24"/>
        <w:szCs w:val="24"/>
      </w:rPr>
    </w:lvl>
    <w:lvl w:ilvl="1">
      <w:start w:val="1"/>
      <w:numFmt w:val="lowerLetter"/>
      <w:lvlText w:val="%2)"/>
      <w:lvlJc w:val="left"/>
      <w:pPr>
        <w:ind w:left="-697" w:hanging="360"/>
      </w:pPr>
      <w:rPr>
        <w:rFonts w:hint="default"/>
      </w:rPr>
    </w:lvl>
    <w:lvl w:ilvl="2">
      <w:start w:val="1"/>
      <w:numFmt w:val="lowerRoman"/>
      <w:lvlText w:val="%3)"/>
      <w:lvlJc w:val="left"/>
      <w:pPr>
        <w:ind w:left="-337" w:hanging="360"/>
      </w:pPr>
      <w:rPr>
        <w:rFonts w:hint="default"/>
      </w:rPr>
    </w:lvl>
    <w:lvl w:ilvl="3">
      <w:start w:val="1"/>
      <w:numFmt w:val="decimal"/>
      <w:lvlText w:val="(%4)"/>
      <w:lvlJc w:val="left"/>
      <w:pPr>
        <w:ind w:left="23" w:hanging="360"/>
      </w:pPr>
      <w:rPr>
        <w:rFonts w:hint="default"/>
      </w:rPr>
    </w:lvl>
    <w:lvl w:ilvl="4">
      <w:start w:val="1"/>
      <w:numFmt w:val="lowerLetter"/>
      <w:lvlText w:val="(%5)"/>
      <w:lvlJc w:val="left"/>
      <w:pPr>
        <w:ind w:left="383" w:hanging="360"/>
      </w:pPr>
      <w:rPr>
        <w:rFonts w:hint="default"/>
      </w:rPr>
    </w:lvl>
    <w:lvl w:ilvl="5">
      <w:start w:val="1"/>
      <w:numFmt w:val="lowerRoman"/>
      <w:lvlText w:val="(%6)"/>
      <w:lvlJc w:val="left"/>
      <w:pPr>
        <w:ind w:left="743" w:hanging="360"/>
      </w:pPr>
      <w:rPr>
        <w:rFonts w:hint="default"/>
      </w:rPr>
    </w:lvl>
    <w:lvl w:ilvl="6">
      <w:start w:val="1"/>
      <w:numFmt w:val="decimal"/>
      <w:lvlText w:val="%7."/>
      <w:lvlJc w:val="left"/>
      <w:pPr>
        <w:ind w:left="1103" w:hanging="360"/>
      </w:pPr>
      <w:rPr>
        <w:rFonts w:hint="default"/>
      </w:rPr>
    </w:lvl>
    <w:lvl w:ilvl="7">
      <w:start w:val="1"/>
      <w:numFmt w:val="lowerLetter"/>
      <w:lvlText w:val="%8."/>
      <w:lvlJc w:val="left"/>
      <w:pPr>
        <w:ind w:left="1463" w:hanging="360"/>
      </w:pPr>
      <w:rPr>
        <w:rFonts w:hint="default"/>
      </w:rPr>
    </w:lvl>
    <w:lvl w:ilvl="8">
      <w:start w:val="1"/>
      <w:numFmt w:val="lowerRoman"/>
      <w:lvlText w:val="%9."/>
      <w:lvlJc w:val="left"/>
      <w:pPr>
        <w:ind w:left="1823" w:hanging="360"/>
      </w:pPr>
      <w:rPr>
        <w:rFonts w:hint="default"/>
      </w:rPr>
    </w:lvl>
  </w:abstractNum>
  <w:abstractNum w:abstractNumId="17" w15:restartNumberingAfterBreak="0">
    <w:nsid w:val="3BCC4BB3"/>
    <w:multiLevelType w:val="hybridMultilevel"/>
    <w:tmpl w:val="C53628DE"/>
    <w:lvl w:ilvl="0" w:tplc="04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D48356C"/>
    <w:multiLevelType w:val="hybridMultilevel"/>
    <w:tmpl w:val="5C72F2E2"/>
    <w:lvl w:ilvl="0" w:tplc="B1D00F44">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911115"/>
    <w:multiLevelType w:val="hybridMultilevel"/>
    <w:tmpl w:val="2B84C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11459D"/>
    <w:multiLevelType w:val="hybridMultilevel"/>
    <w:tmpl w:val="B9404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D644E3"/>
    <w:multiLevelType w:val="hybridMultilevel"/>
    <w:tmpl w:val="F1BE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5018D"/>
    <w:multiLevelType w:val="hybridMultilevel"/>
    <w:tmpl w:val="7DEEB8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4F4575"/>
    <w:multiLevelType w:val="hybridMultilevel"/>
    <w:tmpl w:val="8CE817EC"/>
    <w:lvl w:ilvl="0" w:tplc="0809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5DCF1FE1"/>
    <w:multiLevelType w:val="hybridMultilevel"/>
    <w:tmpl w:val="88E07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D12939"/>
    <w:multiLevelType w:val="hybridMultilevel"/>
    <w:tmpl w:val="34A87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EA58B7"/>
    <w:multiLevelType w:val="hybridMultilevel"/>
    <w:tmpl w:val="6C4898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BBC5157"/>
    <w:multiLevelType w:val="hybridMultilevel"/>
    <w:tmpl w:val="1D467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1E776C"/>
    <w:multiLevelType w:val="hybridMultilevel"/>
    <w:tmpl w:val="9A18F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8559DE"/>
    <w:multiLevelType w:val="hybridMultilevel"/>
    <w:tmpl w:val="6664A7EC"/>
    <w:lvl w:ilvl="0" w:tplc="9F8A1D4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D05CB6"/>
    <w:multiLevelType w:val="hybridMultilevel"/>
    <w:tmpl w:val="1E6A1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8748C6"/>
    <w:multiLevelType w:val="hybridMultilevel"/>
    <w:tmpl w:val="B26C8A62"/>
    <w:lvl w:ilvl="0" w:tplc="C650914C">
      <w:start w:val="1"/>
      <w:numFmt w:val="bullet"/>
      <w:lvlText w:val="-"/>
      <w:lvlJc w:val="left"/>
      <w:pPr>
        <w:ind w:left="360" w:hanging="360"/>
      </w:pPr>
      <w:rPr>
        <w:rFonts w:ascii="Cambria" w:eastAsia="MS Mincho" w:hAnsi="Cambr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8C09E9"/>
    <w:multiLevelType w:val="hybridMultilevel"/>
    <w:tmpl w:val="B5CCD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6"/>
  </w:num>
  <w:num w:numId="3">
    <w:abstractNumId w:val="25"/>
  </w:num>
  <w:num w:numId="4">
    <w:abstractNumId w:val="32"/>
  </w:num>
  <w:num w:numId="5">
    <w:abstractNumId w:val="30"/>
  </w:num>
  <w:num w:numId="6">
    <w:abstractNumId w:val="0"/>
  </w:num>
  <w:num w:numId="7">
    <w:abstractNumId w:val="28"/>
  </w:num>
  <w:num w:numId="8">
    <w:abstractNumId w:val="26"/>
  </w:num>
  <w:num w:numId="9">
    <w:abstractNumId w:val="11"/>
  </w:num>
  <w:num w:numId="10">
    <w:abstractNumId w:val="29"/>
  </w:num>
  <w:num w:numId="11">
    <w:abstractNumId w:val="31"/>
  </w:num>
  <w:num w:numId="12">
    <w:abstractNumId w:val="5"/>
  </w:num>
  <w:num w:numId="13">
    <w:abstractNumId w:val="24"/>
  </w:num>
  <w:num w:numId="14">
    <w:abstractNumId w:val="12"/>
  </w:num>
  <w:num w:numId="15">
    <w:abstractNumId w:val="15"/>
  </w:num>
  <w:num w:numId="16">
    <w:abstractNumId w:val="2"/>
  </w:num>
  <w:num w:numId="17">
    <w:abstractNumId w:val="19"/>
  </w:num>
  <w:num w:numId="18">
    <w:abstractNumId w:val="18"/>
  </w:num>
  <w:num w:numId="19">
    <w:abstractNumId w:val="9"/>
  </w:num>
  <w:num w:numId="20">
    <w:abstractNumId w:val="20"/>
  </w:num>
  <w:num w:numId="21">
    <w:abstractNumId w:val="27"/>
  </w:num>
  <w:num w:numId="22">
    <w:abstractNumId w:val="14"/>
  </w:num>
  <w:num w:numId="23">
    <w:abstractNumId w:val="17"/>
  </w:num>
  <w:num w:numId="24">
    <w:abstractNumId w:val="3"/>
    <w:lvlOverride w:ilvl="0">
      <w:startOverride w:val="1"/>
    </w:lvlOverride>
    <w:lvlOverride w:ilvl="1"/>
    <w:lvlOverride w:ilvl="2"/>
    <w:lvlOverride w:ilvl="3"/>
    <w:lvlOverride w:ilvl="4"/>
    <w:lvlOverride w:ilvl="5"/>
    <w:lvlOverride w:ilvl="6"/>
    <w:lvlOverride w:ilvl="7"/>
    <w:lvlOverride w:ilvl="8"/>
  </w:num>
  <w:num w:numId="25">
    <w:abstractNumId w:val="7"/>
    <w:lvlOverride w:ilvl="0">
      <w:startOverride w:val="1"/>
    </w:lvlOverride>
    <w:lvlOverride w:ilvl="1"/>
    <w:lvlOverride w:ilvl="2"/>
    <w:lvlOverride w:ilvl="3"/>
    <w:lvlOverride w:ilvl="4"/>
    <w:lvlOverride w:ilvl="5"/>
    <w:lvlOverride w:ilvl="6"/>
    <w:lvlOverride w:ilvl="7"/>
    <w:lvlOverride w:ilvl="8"/>
  </w:num>
  <w:num w:numId="26">
    <w:abstractNumId w:val="4"/>
  </w:num>
  <w:num w:numId="27">
    <w:abstractNumId w:val="10"/>
  </w:num>
  <w:num w:numId="28">
    <w:abstractNumId w:val="23"/>
  </w:num>
  <w:num w:numId="29">
    <w:abstractNumId w:val="1"/>
  </w:num>
  <w:num w:numId="30">
    <w:abstractNumId w:val="6"/>
  </w:num>
  <w:num w:numId="31">
    <w:abstractNumId w:val="8"/>
  </w:num>
  <w:num w:numId="32">
    <w:abstractNumId w:val="22"/>
  </w:num>
  <w:num w:numId="3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98"/>
    <w:rsid w:val="0000747C"/>
    <w:rsid w:val="000174FE"/>
    <w:rsid w:val="00020454"/>
    <w:rsid w:val="000266E7"/>
    <w:rsid w:val="00026BD8"/>
    <w:rsid w:val="00027FBB"/>
    <w:rsid w:val="00044731"/>
    <w:rsid w:val="00050133"/>
    <w:rsid w:val="000519FA"/>
    <w:rsid w:val="000544C1"/>
    <w:rsid w:val="00074721"/>
    <w:rsid w:val="00074A48"/>
    <w:rsid w:val="00075A3E"/>
    <w:rsid w:val="000766F4"/>
    <w:rsid w:val="00076CD3"/>
    <w:rsid w:val="00082315"/>
    <w:rsid w:val="00091084"/>
    <w:rsid w:val="00091410"/>
    <w:rsid w:val="00092B49"/>
    <w:rsid w:val="000A06B4"/>
    <w:rsid w:val="000A19E7"/>
    <w:rsid w:val="000A7E49"/>
    <w:rsid w:val="000C7387"/>
    <w:rsid w:val="000D25BE"/>
    <w:rsid w:val="000D2D82"/>
    <w:rsid w:val="000D4B1C"/>
    <w:rsid w:val="000E116B"/>
    <w:rsid w:val="000E1844"/>
    <w:rsid w:val="000E1B57"/>
    <w:rsid w:val="000E4ABD"/>
    <w:rsid w:val="000F0B9F"/>
    <w:rsid w:val="000F5218"/>
    <w:rsid w:val="000F709C"/>
    <w:rsid w:val="00101036"/>
    <w:rsid w:val="00104D9B"/>
    <w:rsid w:val="00105411"/>
    <w:rsid w:val="00115E6F"/>
    <w:rsid w:val="0011765B"/>
    <w:rsid w:val="001179A6"/>
    <w:rsid w:val="0012454F"/>
    <w:rsid w:val="00126118"/>
    <w:rsid w:val="00126961"/>
    <w:rsid w:val="00127600"/>
    <w:rsid w:val="00133593"/>
    <w:rsid w:val="001336AD"/>
    <w:rsid w:val="001431B4"/>
    <w:rsid w:val="001443D2"/>
    <w:rsid w:val="00145932"/>
    <w:rsid w:val="001474E0"/>
    <w:rsid w:val="00147CDF"/>
    <w:rsid w:val="00152D0B"/>
    <w:rsid w:val="001530DD"/>
    <w:rsid w:val="0015333E"/>
    <w:rsid w:val="00155139"/>
    <w:rsid w:val="00157A70"/>
    <w:rsid w:val="00157F29"/>
    <w:rsid w:val="00161625"/>
    <w:rsid w:val="00172F09"/>
    <w:rsid w:val="0017653E"/>
    <w:rsid w:val="00181B59"/>
    <w:rsid w:val="00181D7A"/>
    <w:rsid w:val="00181DC1"/>
    <w:rsid w:val="00182224"/>
    <w:rsid w:val="00184436"/>
    <w:rsid w:val="00186ACB"/>
    <w:rsid w:val="001879BC"/>
    <w:rsid w:val="001941CA"/>
    <w:rsid w:val="001967AD"/>
    <w:rsid w:val="001A2D2D"/>
    <w:rsid w:val="001A407A"/>
    <w:rsid w:val="001A7FD5"/>
    <w:rsid w:val="001B71FF"/>
    <w:rsid w:val="001C0D3C"/>
    <w:rsid w:val="001C123E"/>
    <w:rsid w:val="001D12B9"/>
    <w:rsid w:val="001D31EE"/>
    <w:rsid w:val="001D3C4F"/>
    <w:rsid w:val="001E35BE"/>
    <w:rsid w:val="001E56C3"/>
    <w:rsid w:val="001E5D02"/>
    <w:rsid w:val="001E7B59"/>
    <w:rsid w:val="002025C7"/>
    <w:rsid w:val="002058DC"/>
    <w:rsid w:val="002211EE"/>
    <w:rsid w:val="002235BA"/>
    <w:rsid w:val="00232E6E"/>
    <w:rsid w:val="00236158"/>
    <w:rsid w:val="002457CD"/>
    <w:rsid w:val="00246354"/>
    <w:rsid w:val="00254B38"/>
    <w:rsid w:val="00255EE4"/>
    <w:rsid w:val="002639CB"/>
    <w:rsid w:val="00264219"/>
    <w:rsid w:val="00274A85"/>
    <w:rsid w:val="0028090B"/>
    <w:rsid w:val="002822E4"/>
    <w:rsid w:val="00290953"/>
    <w:rsid w:val="002915FF"/>
    <w:rsid w:val="00293349"/>
    <w:rsid w:val="00296547"/>
    <w:rsid w:val="002966C6"/>
    <w:rsid w:val="00296EF4"/>
    <w:rsid w:val="002A5026"/>
    <w:rsid w:val="002B09AE"/>
    <w:rsid w:val="002B0F8A"/>
    <w:rsid w:val="002B14E9"/>
    <w:rsid w:val="002B7C02"/>
    <w:rsid w:val="002C046F"/>
    <w:rsid w:val="002C4259"/>
    <w:rsid w:val="002D4CB7"/>
    <w:rsid w:val="002D5C27"/>
    <w:rsid w:val="002D6EDB"/>
    <w:rsid w:val="002E32E1"/>
    <w:rsid w:val="002E79D9"/>
    <w:rsid w:val="002E7AB1"/>
    <w:rsid w:val="002F0A79"/>
    <w:rsid w:val="002F1F38"/>
    <w:rsid w:val="002F4D2B"/>
    <w:rsid w:val="003002B0"/>
    <w:rsid w:val="00301660"/>
    <w:rsid w:val="00302E28"/>
    <w:rsid w:val="00304008"/>
    <w:rsid w:val="003130F6"/>
    <w:rsid w:val="00314D89"/>
    <w:rsid w:val="00322875"/>
    <w:rsid w:val="00327FA6"/>
    <w:rsid w:val="00332275"/>
    <w:rsid w:val="00336F1F"/>
    <w:rsid w:val="00341B71"/>
    <w:rsid w:val="003422AA"/>
    <w:rsid w:val="0034361B"/>
    <w:rsid w:val="00344C9B"/>
    <w:rsid w:val="00345535"/>
    <w:rsid w:val="00357249"/>
    <w:rsid w:val="00357279"/>
    <w:rsid w:val="00357688"/>
    <w:rsid w:val="00361F1D"/>
    <w:rsid w:val="00363256"/>
    <w:rsid w:val="003657E1"/>
    <w:rsid w:val="00370F32"/>
    <w:rsid w:val="00370F9C"/>
    <w:rsid w:val="0037378C"/>
    <w:rsid w:val="003752DA"/>
    <w:rsid w:val="0038223B"/>
    <w:rsid w:val="00384AB7"/>
    <w:rsid w:val="00386C09"/>
    <w:rsid w:val="003913FD"/>
    <w:rsid w:val="0039460F"/>
    <w:rsid w:val="00396999"/>
    <w:rsid w:val="00396E87"/>
    <w:rsid w:val="003A0BEA"/>
    <w:rsid w:val="003A4FF8"/>
    <w:rsid w:val="003B4C88"/>
    <w:rsid w:val="003C13C0"/>
    <w:rsid w:val="003C2A1E"/>
    <w:rsid w:val="003C6ABB"/>
    <w:rsid w:val="003F325C"/>
    <w:rsid w:val="003F4AF6"/>
    <w:rsid w:val="003F62DC"/>
    <w:rsid w:val="003F6365"/>
    <w:rsid w:val="00406D18"/>
    <w:rsid w:val="00407CAE"/>
    <w:rsid w:val="004117A1"/>
    <w:rsid w:val="00413133"/>
    <w:rsid w:val="004154E4"/>
    <w:rsid w:val="00416177"/>
    <w:rsid w:val="00417511"/>
    <w:rsid w:val="00417BE8"/>
    <w:rsid w:val="00425311"/>
    <w:rsid w:val="004319D3"/>
    <w:rsid w:val="00435E72"/>
    <w:rsid w:val="0043776A"/>
    <w:rsid w:val="0044166C"/>
    <w:rsid w:val="00446954"/>
    <w:rsid w:val="004517BB"/>
    <w:rsid w:val="00453C65"/>
    <w:rsid w:val="004577CD"/>
    <w:rsid w:val="00460D1D"/>
    <w:rsid w:val="00467CE3"/>
    <w:rsid w:val="00482953"/>
    <w:rsid w:val="00482977"/>
    <w:rsid w:val="00483156"/>
    <w:rsid w:val="004854EA"/>
    <w:rsid w:val="00486E63"/>
    <w:rsid w:val="00486F29"/>
    <w:rsid w:val="00487B08"/>
    <w:rsid w:val="004912C4"/>
    <w:rsid w:val="004919E7"/>
    <w:rsid w:val="00492958"/>
    <w:rsid w:val="00496475"/>
    <w:rsid w:val="00496F33"/>
    <w:rsid w:val="004A18CE"/>
    <w:rsid w:val="004A2398"/>
    <w:rsid w:val="004A2F34"/>
    <w:rsid w:val="004A3D99"/>
    <w:rsid w:val="004A5733"/>
    <w:rsid w:val="004A63E4"/>
    <w:rsid w:val="004B1EC3"/>
    <w:rsid w:val="004B2787"/>
    <w:rsid w:val="004B2B0F"/>
    <w:rsid w:val="004C10C7"/>
    <w:rsid w:val="004C1477"/>
    <w:rsid w:val="004C1FB8"/>
    <w:rsid w:val="004C509B"/>
    <w:rsid w:val="004C5D3D"/>
    <w:rsid w:val="004C79A3"/>
    <w:rsid w:val="004D2219"/>
    <w:rsid w:val="004E0694"/>
    <w:rsid w:val="004E2975"/>
    <w:rsid w:val="004E4163"/>
    <w:rsid w:val="004E4EA4"/>
    <w:rsid w:val="004E6176"/>
    <w:rsid w:val="004E7900"/>
    <w:rsid w:val="004F1E3C"/>
    <w:rsid w:val="004F21D4"/>
    <w:rsid w:val="004F44EB"/>
    <w:rsid w:val="004F4AF2"/>
    <w:rsid w:val="004F5318"/>
    <w:rsid w:val="004F5DD2"/>
    <w:rsid w:val="00501270"/>
    <w:rsid w:val="005032D9"/>
    <w:rsid w:val="00503FE3"/>
    <w:rsid w:val="0050541C"/>
    <w:rsid w:val="00510304"/>
    <w:rsid w:val="00512432"/>
    <w:rsid w:val="00512D31"/>
    <w:rsid w:val="00515C11"/>
    <w:rsid w:val="00515C23"/>
    <w:rsid w:val="0051706E"/>
    <w:rsid w:val="005244F4"/>
    <w:rsid w:val="00524845"/>
    <w:rsid w:val="00527DD5"/>
    <w:rsid w:val="00533357"/>
    <w:rsid w:val="005336F7"/>
    <w:rsid w:val="00534785"/>
    <w:rsid w:val="00537A93"/>
    <w:rsid w:val="00541A3D"/>
    <w:rsid w:val="0055167D"/>
    <w:rsid w:val="00553C16"/>
    <w:rsid w:val="005601F4"/>
    <w:rsid w:val="00562E9D"/>
    <w:rsid w:val="00563C4E"/>
    <w:rsid w:val="00564FC1"/>
    <w:rsid w:val="00565BE6"/>
    <w:rsid w:val="00571D28"/>
    <w:rsid w:val="00574BEC"/>
    <w:rsid w:val="0058014D"/>
    <w:rsid w:val="0058053B"/>
    <w:rsid w:val="005807AA"/>
    <w:rsid w:val="00580F88"/>
    <w:rsid w:val="00584CBE"/>
    <w:rsid w:val="00585796"/>
    <w:rsid w:val="00592A71"/>
    <w:rsid w:val="00593DF9"/>
    <w:rsid w:val="005966C3"/>
    <w:rsid w:val="005A175B"/>
    <w:rsid w:val="005A2CD4"/>
    <w:rsid w:val="005A6DE7"/>
    <w:rsid w:val="005B4341"/>
    <w:rsid w:val="005B559A"/>
    <w:rsid w:val="005C2DB7"/>
    <w:rsid w:val="005C7208"/>
    <w:rsid w:val="005D2889"/>
    <w:rsid w:val="005D33BC"/>
    <w:rsid w:val="005D4483"/>
    <w:rsid w:val="005D4B20"/>
    <w:rsid w:val="005D5E68"/>
    <w:rsid w:val="005F1772"/>
    <w:rsid w:val="005F2A79"/>
    <w:rsid w:val="005F2FA1"/>
    <w:rsid w:val="005F55E8"/>
    <w:rsid w:val="00603490"/>
    <w:rsid w:val="00606ABB"/>
    <w:rsid w:val="00614523"/>
    <w:rsid w:val="006166A5"/>
    <w:rsid w:val="0062010C"/>
    <w:rsid w:val="006203E5"/>
    <w:rsid w:val="00622393"/>
    <w:rsid w:val="006248E5"/>
    <w:rsid w:val="00627F31"/>
    <w:rsid w:val="00633C07"/>
    <w:rsid w:val="00636711"/>
    <w:rsid w:val="00637316"/>
    <w:rsid w:val="006377CC"/>
    <w:rsid w:val="006559BC"/>
    <w:rsid w:val="00657356"/>
    <w:rsid w:val="006628E4"/>
    <w:rsid w:val="00664D27"/>
    <w:rsid w:val="00665476"/>
    <w:rsid w:val="00665BDE"/>
    <w:rsid w:val="00667839"/>
    <w:rsid w:val="00671C4A"/>
    <w:rsid w:val="00673883"/>
    <w:rsid w:val="006774AF"/>
    <w:rsid w:val="00677A10"/>
    <w:rsid w:val="00683694"/>
    <w:rsid w:val="0069030E"/>
    <w:rsid w:val="0069377C"/>
    <w:rsid w:val="00695B0B"/>
    <w:rsid w:val="00697F1E"/>
    <w:rsid w:val="006A0B5A"/>
    <w:rsid w:val="006A565D"/>
    <w:rsid w:val="006A653F"/>
    <w:rsid w:val="006B288B"/>
    <w:rsid w:val="006C1C37"/>
    <w:rsid w:val="006C39CA"/>
    <w:rsid w:val="006D294E"/>
    <w:rsid w:val="006D6A2A"/>
    <w:rsid w:val="006D773F"/>
    <w:rsid w:val="006E5411"/>
    <w:rsid w:val="006F384F"/>
    <w:rsid w:val="006F484A"/>
    <w:rsid w:val="006F4CE8"/>
    <w:rsid w:val="00701FC8"/>
    <w:rsid w:val="0070320C"/>
    <w:rsid w:val="00706B88"/>
    <w:rsid w:val="00706F57"/>
    <w:rsid w:val="00710D0B"/>
    <w:rsid w:val="0071239E"/>
    <w:rsid w:val="0071290D"/>
    <w:rsid w:val="007140CD"/>
    <w:rsid w:val="00715BBA"/>
    <w:rsid w:val="00721D23"/>
    <w:rsid w:val="00723363"/>
    <w:rsid w:val="00725B19"/>
    <w:rsid w:val="0073261C"/>
    <w:rsid w:val="00736786"/>
    <w:rsid w:val="00737A8D"/>
    <w:rsid w:val="0074518B"/>
    <w:rsid w:val="00751B39"/>
    <w:rsid w:val="00751FB9"/>
    <w:rsid w:val="00752D41"/>
    <w:rsid w:val="00753ACA"/>
    <w:rsid w:val="007542D7"/>
    <w:rsid w:val="00761882"/>
    <w:rsid w:val="00766F9D"/>
    <w:rsid w:val="007719F0"/>
    <w:rsid w:val="007745B7"/>
    <w:rsid w:val="0078664B"/>
    <w:rsid w:val="00792990"/>
    <w:rsid w:val="00793D85"/>
    <w:rsid w:val="0079648A"/>
    <w:rsid w:val="00796558"/>
    <w:rsid w:val="00797281"/>
    <w:rsid w:val="007A45C1"/>
    <w:rsid w:val="007B103B"/>
    <w:rsid w:val="007B6116"/>
    <w:rsid w:val="007B7658"/>
    <w:rsid w:val="007B7A27"/>
    <w:rsid w:val="007C447D"/>
    <w:rsid w:val="007C6695"/>
    <w:rsid w:val="007D5F66"/>
    <w:rsid w:val="007E64D2"/>
    <w:rsid w:val="007F3B3F"/>
    <w:rsid w:val="007F3FAA"/>
    <w:rsid w:val="007F4185"/>
    <w:rsid w:val="007F6524"/>
    <w:rsid w:val="008026CD"/>
    <w:rsid w:val="008071C1"/>
    <w:rsid w:val="008112A2"/>
    <w:rsid w:val="00813110"/>
    <w:rsid w:val="008141CD"/>
    <w:rsid w:val="00814A3D"/>
    <w:rsid w:val="00816740"/>
    <w:rsid w:val="00824299"/>
    <w:rsid w:val="00824669"/>
    <w:rsid w:val="00837B7D"/>
    <w:rsid w:val="0084199C"/>
    <w:rsid w:val="008500DA"/>
    <w:rsid w:val="00854920"/>
    <w:rsid w:val="008554FA"/>
    <w:rsid w:val="0085787A"/>
    <w:rsid w:val="008604F0"/>
    <w:rsid w:val="008611E4"/>
    <w:rsid w:val="008617D3"/>
    <w:rsid w:val="0086645D"/>
    <w:rsid w:val="00871E57"/>
    <w:rsid w:val="00882856"/>
    <w:rsid w:val="0089152F"/>
    <w:rsid w:val="008935A7"/>
    <w:rsid w:val="00894B55"/>
    <w:rsid w:val="00894CC9"/>
    <w:rsid w:val="00896D1E"/>
    <w:rsid w:val="00896F85"/>
    <w:rsid w:val="008A4018"/>
    <w:rsid w:val="008A68FE"/>
    <w:rsid w:val="008A7700"/>
    <w:rsid w:val="008B1D84"/>
    <w:rsid w:val="008C0D32"/>
    <w:rsid w:val="008C10E5"/>
    <w:rsid w:val="008C4234"/>
    <w:rsid w:val="008C6082"/>
    <w:rsid w:val="008C65A9"/>
    <w:rsid w:val="008D024E"/>
    <w:rsid w:val="008E1CBC"/>
    <w:rsid w:val="008E34CB"/>
    <w:rsid w:val="008F5F65"/>
    <w:rsid w:val="00906AAF"/>
    <w:rsid w:val="00913081"/>
    <w:rsid w:val="0091454E"/>
    <w:rsid w:val="009216BB"/>
    <w:rsid w:val="00924124"/>
    <w:rsid w:val="009253B6"/>
    <w:rsid w:val="009260C8"/>
    <w:rsid w:val="00935D51"/>
    <w:rsid w:val="0094514B"/>
    <w:rsid w:val="00952484"/>
    <w:rsid w:val="00954CDF"/>
    <w:rsid w:val="0095629C"/>
    <w:rsid w:val="00957109"/>
    <w:rsid w:val="00957297"/>
    <w:rsid w:val="009574EF"/>
    <w:rsid w:val="00960D43"/>
    <w:rsid w:val="009619E7"/>
    <w:rsid w:val="0096635F"/>
    <w:rsid w:val="0097316D"/>
    <w:rsid w:val="009734A0"/>
    <w:rsid w:val="0097375E"/>
    <w:rsid w:val="0097397B"/>
    <w:rsid w:val="00976AAE"/>
    <w:rsid w:val="0098131D"/>
    <w:rsid w:val="00986F6C"/>
    <w:rsid w:val="00990850"/>
    <w:rsid w:val="00991647"/>
    <w:rsid w:val="0099434E"/>
    <w:rsid w:val="009943AF"/>
    <w:rsid w:val="00996F55"/>
    <w:rsid w:val="0099775C"/>
    <w:rsid w:val="009A01CB"/>
    <w:rsid w:val="009A5610"/>
    <w:rsid w:val="009B6E51"/>
    <w:rsid w:val="009C344C"/>
    <w:rsid w:val="009C34D4"/>
    <w:rsid w:val="009C3F64"/>
    <w:rsid w:val="009C5FD4"/>
    <w:rsid w:val="009C6E04"/>
    <w:rsid w:val="009C717E"/>
    <w:rsid w:val="009C7514"/>
    <w:rsid w:val="009C7FB3"/>
    <w:rsid w:val="009D0A42"/>
    <w:rsid w:val="009D0ACF"/>
    <w:rsid w:val="009D15C6"/>
    <w:rsid w:val="009D29F1"/>
    <w:rsid w:val="009D2D4F"/>
    <w:rsid w:val="009D6B3B"/>
    <w:rsid w:val="009E63AA"/>
    <w:rsid w:val="009F09AE"/>
    <w:rsid w:val="009F37D4"/>
    <w:rsid w:val="009F3A4A"/>
    <w:rsid w:val="00A01F49"/>
    <w:rsid w:val="00A029F5"/>
    <w:rsid w:val="00A02FE9"/>
    <w:rsid w:val="00A05E95"/>
    <w:rsid w:val="00A06870"/>
    <w:rsid w:val="00A1047F"/>
    <w:rsid w:val="00A124BC"/>
    <w:rsid w:val="00A12723"/>
    <w:rsid w:val="00A13FBB"/>
    <w:rsid w:val="00A30351"/>
    <w:rsid w:val="00A347A0"/>
    <w:rsid w:val="00A41B67"/>
    <w:rsid w:val="00A42628"/>
    <w:rsid w:val="00A46100"/>
    <w:rsid w:val="00A473F3"/>
    <w:rsid w:val="00A47558"/>
    <w:rsid w:val="00A519BD"/>
    <w:rsid w:val="00A54524"/>
    <w:rsid w:val="00A60A9D"/>
    <w:rsid w:val="00A60D87"/>
    <w:rsid w:val="00A64475"/>
    <w:rsid w:val="00A6631F"/>
    <w:rsid w:val="00A7035A"/>
    <w:rsid w:val="00A73230"/>
    <w:rsid w:val="00A808AF"/>
    <w:rsid w:val="00A83CD0"/>
    <w:rsid w:val="00A846B5"/>
    <w:rsid w:val="00A91836"/>
    <w:rsid w:val="00A94650"/>
    <w:rsid w:val="00A96324"/>
    <w:rsid w:val="00AA04F7"/>
    <w:rsid w:val="00AB1A98"/>
    <w:rsid w:val="00AD2B3A"/>
    <w:rsid w:val="00AD390F"/>
    <w:rsid w:val="00AE0C0A"/>
    <w:rsid w:val="00AE2032"/>
    <w:rsid w:val="00AE3CE1"/>
    <w:rsid w:val="00AE573D"/>
    <w:rsid w:val="00AF3841"/>
    <w:rsid w:val="00AF4724"/>
    <w:rsid w:val="00B02171"/>
    <w:rsid w:val="00B02CA7"/>
    <w:rsid w:val="00B04F6D"/>
    <w:rsid w:val="00B0581C"/>
    <w:rsid w:val="00B1018C"/>
    <w:rsid w:val="00B1116C"/>
    <w:rsid w:val="00B11698"/>
    <w:rsid w:val="00B146F2"/>
    <w:rsid w:val="00B163DA"/>
    <w:rsid w:val="00B16C85"/>
    <w:rsid w:val="00B204DF"/>
    <w:rsid w:val="00B34109"/>
    <w:rsid w:val="00B356A1"/>
    <w:rsid w:val="00B35890"/>
    <w:rsid w:val="00B4269E"/>
    <w:rsid w:val="00B530DA"/>
    <w:rsid w:val="00B54630"/>
    <w:rsid w:val="00B64CF1"/>
    <w:rsid w:val="00B64CF3"/>
    <w:rsid w:val="00B661AC"/>
    <w:rsid w:val="00B73DD2"/>
    <w:rsid w:val="00B7467A"/>
    <w:rsid w:val="00B75A3D"/>
    <w:rsid w:val="00B9175E"/>
    <w:rsid w:val="00BA5582"/>
    <w:rsid w:val="00BA5A72"/>
    <w:rsid w:val="00BA6D36"/>
    <w:rsid w:val="00BB2D1B"/>
    <w:rsid w:val="00BB45E1"/>
    <w:rsid w:val="00BC0806"/>
    <w:rsid w:val="00BC1A49"/>
    <w:rsid w:val="00BC1F81"/>
    <w:rsid w:val="00BC2303"/>
    <w:rsid w:val="00BD6DD2"/>
    <w:rsid w:val="00BE21A0"/>
    <w:rsid w:val="00BF211A"/>
    <w:rsid w:val="00C055D4"/>
    <w:rsid w:val="00C12DF6"/>
    <w:rsid w:val="00C22A8E"/>
    <w:rsid w:val="00C267D3"/>
    <w:rsid w:val="00C302FD"/>
    <w:rsid w:val="00C31B4F"/>
    <w:rsid w:val="00C36DC1"/>
    <w:rsid w:val="00C37641"/>
    <w:rsid w:val="00C376FD"/>
    <w:rsid w:val="00C41E0E"/>
    <w:rsid w:val="00C4462E"/>
    <w:rsid w:val="00C450D1"/>
    <w:rsid w:val="00C50967"/>
    <w:rsid w:val="00C50DD7"/>
    <w:rsid w:val="00C51D8B"/>
    <w:rsid w:val="00C52499"/>
    <w:rsid w:val="00C54CC2"/>
    <w:rsid w:val="00C55B2D"/>
    <w:rsid w:val="00C61285"/>
    <w:rsid w:val="00C62074"/>
    <w:rsid w:val="00C62130"/>
    <w:rsid w:val="00C6498D"/>
    <w:rsid w:val="00C67055"/>
    <w:rsid w:val="00C756F9"/>
    <w:rsid w:val="00C76B19"/>
    <w:rsid w:val="00C80D45"/>
    <w:rsid w:val="00C92517"/>
    <w:rsid w:val="00C9489C"/>
    <w:rsid w:val="00CA321E"/>
    <w:rsid w:val="00CA422D"/>
    <w:rsid w:val="00CA5690"/>
    <w:rsid w:val="00CA72B2"/>
    <w:rsid w:val="00CB1B8F"/>
    <w:rsid w:val="00CB24BC"/>
    <w:rsid w:val="00CB314B"/>
    <w:rsid w:val="00CB31B2"/>
    <w:rsid w:val="00CB339F"/>
    <w:rsid w:val="00CB43DE"/>
    <w:rsid w:val="00CB6D4F"/>
    <w:rsid w:val="00CC1334"/>
    <w:rsid w:val="00CC23F2"/>
    <w:rsid w:val="00CC396D"/>
    <w:rsid w:val="00CD150B"/>
    <w:rsid w:val="00CD1BAF"/>
    <w:rsid w:val="00CD4A41"/>
    <w:rsid w:val="00CD5D2E"/>
    <w:rsid w:val="00CE1CA3"/>
    <w:rsid w:val="00CE67F9"/>
    <w:rsid w:val="00CF2E7E"/>
    <w:rsid w:val="00CF3CF5"/>
    <w:rsid w:val="00CF3DDC"/>
    <w:rsid w:val="00D0036C"/>
    <w:rsid w:val="00D16F1B"/>
    <w:rsid w:val="00D212F7"/>
    <w:rsid w:val="00D21924"/>
    <w:rsid w:val="00D21C33"/>
    <w:rsid w:val="00D224FD"/>
    <w:rsid w:val="00D24D1A"/>
    <w:rsid w:val="00D26D5F"/>
    <w:rsid w:val="00D515E3"/>
    <w:rsid w:val="00D51610"/>
    <w:rsid w:val="00D535C3"/>
    <w:rsid w:val="00D57EDD"/>
    <w:rsid w:val="00D60418"/>
    <w:rsid w:val="00D60C65"/>
    <w:rsid w:val="00D60E1B"/>
    <w:rsid w:val="00D611B7"/>
    <w:rsid w:val="00D62B07"/>
    <w:rsid w:val="00D6430B"/>
    <w:rsid w:val="00D64733"/>
    <w:rsid w:val="00D702C8"/>
    <w:rsid w:val="00D754B9"/>
    <w:rsid w:val="00D76F5B"/>
    <w:rsid w:val="00D80753"/>
    <w:rsid w:val="00D8189B"/>
    <w:rsid w:val="00D8444B"/>
    <w:rsid w:val="00D84F0B"/>
    <w:rsid w:val="00D8509D"/>
    <w:rsid w:val="00D879FC"/>
    <w:rsid w:val="00D90177"/>
    <w:rsid w:val="00D90357"/>
    <w:rsid w:val="00D92E1A"/>
    <w:rsid w:val="00D9633B"/>
    <w:rsid w:val="00DA38E2"/>
    <w:rsid w:val="00DA5518"/>
    <w:rsid w:val="00DB0438"/>
    <w:rsid w:val="00DB0D0D"/>
    <w:rsid w:val="00DB2E27"/>
    <w:rsid w:val="00DB334C"/>
    <w:rsid w:val="00DC0C00"/>
    <w:rsid w:val="00DC2582"/>
    <w:rsid w:val="00DC786B"/>
    <w:rsid w:val="00DD03D0"/>
    <w:rsid w:val="00DD256F"/>
    <w:rsid w:val="00DD2A6C"/>
    <w:rsid w:val="00DD55CE"/>
    <w:rsid w:val="00DD6415"/>
    <w:rsid w:val="00DE39D5"/>
    <w:rsid w:val="00DF6E8C"/>
    <w:rsid w:val="00E016C7"/>
    <w:rsid w:val="00E05CDD"/>
    <w:rsid w:val="00E116E5"/>
    <w:rsid w:val="00E178F7"/>
    <w:rsid w:val="00E3380D"/>
    <w:rsid w:val="00E356FE"/>
    <w:rsid w:val="00E358DB"/>
    <w:rsid w:val="00E36326"/>
    <w:rsid w:val="00E430A1"/>
    <w:rsid w:val="00E4547A"/>
    <w:rsid w:val="00E45688"/>
    <w:rsid w:val="00E45D78"/>
    <w:rsid w:val="00E50D74"/>
    <w:rsid w:val="00E51DF1"/>
    <w:rsid w:val="00E52CF2"/>
    <w:rsid w:val="00E54F28"/>
    <w:rsid w:val="00E55E96"/>
    <w:rsid w:val="00E568BE"/>
    <w:rsid w:val="00E57D73"/>
    <w:rsid w:val="00E61250"/>
    <w:rsid w:val="00E622A9"/>
    <w:rsid w:val="00E65654"/>
    <w:rsid w:val="00E738BD"/>
    <w:rsid w:val="00E74D05"/>
    <w:rsid w:val="00E756A1"/>
    <w:rsid w:val="00E80171"/>
    <w:rsid w:val="00E834B9"/>
    <w:rsid w:val="00E8422E"/>
    <w:rsid w:val="00E846F6"/>
    <w:rsid w:val="00E90AFA"/>
    <w:rsid w:val="00E91999"/>
    <w:rsid w:val="00E9341E"/>
    <w:rsid w:val="00E94A66"/>
    <w:rsid w:val="00EA1790"/>
    <w:rsid w:val="00EA22E1"/>
    <w:rsid w:val="00EA37D4"/>
    <w:rsid w:val="00EA4296"/>
    <w:rsid w:val="00EA44DA"/>
    <w:rsid w:val="00EA5CBB"/>
    <w:rsid w:val="00EB0B95"/>
    <w:rsid w:val="00EB3D87"/>
    <w:rsid w:val="00EB79C8"/>
    <w:rsid w:val="00EC1AC2"/>
    <w:rsid w:val="00EC2EBB"/>
    <w:rsid w:val="00EC3721"/>
    <w:rsid w:val="00EC664F"/>
    <w:rsid w:val="00EC71E2"/>
    <w:rsid w:val="00ED15EA"/>
    <w:rsid w:val="00ED2B95"/>
    <w:rsid w:val="00EE1576"/>
    <w:rsid w:val="00EE1E42"/>
    <w:rsid w:val="00EE2208"/>
    <w:rsid w:val="00EE4569"/>
    <w:rsid w:val="00F013A4"/>
    <w:rsid w:val="00F13F31"/>
    <w:rsid w:val="00F14271"/>
    <w:rsid w:val="00F16D35"/>
    <w:rsid w:val="00F20630"/>
    <w:rsid w:val="00F21B2B"/>
    <w:rsid w:val="00F23F49"/>
    <w:rsid w:val="00F25407"/>
    <w:rsid w:val="00F2649E"/>
    <w:rsid w:val="00F2709A"/>
    <w:rsid w:val="00F325F8"/>
    <w:rsid w:val="00F350FC"/>
    <w:rsid w:val="00F36F17"/>
    <w:rsid w:val="00F379F7"/>
    <w:rsid w:val="00F40AF9"/>
    <w:rsid w:val="00F41906"/>
    <w:rsid w:val="00F45124"/>
    <w:rsid w:val="00F47DDA"/>
    <w:rsid w:val="00F55651"/>
    <w:rsid w:val="00F568BF"/>
    <w:rsid w:val="00F6048C"/>
    <w:rsid w:val="00F61828"/>
    <w:rsid w:val="00F63CBF"/>
    <w:rsid w:val="00F640A4"/>
    <w:rsid w:val="00F71CD8"/>
    <w:rsid w:val="00F71DA5"/>
    <w:rsid w:val="00F80EF7"/>
    <w:rsid w:val="00F8215B"/>
    <w:rsid w:val="00F840BF"/>
    <w:rsid w:val="00F86A38"/>
    <w:rsid w:val="00F908A0"/>
    <w:rsid w:val="00F96576"/>
    <w:rsid w:val="00FA4F28"/>
    <w:rsid w:val="00FA6384"/>
    <w:rsid w:val="00FA72AA"/>
    <w:rsid w:val="00FB0BFB"/>
    <w:rsid w:val="00FB5274"/>
    <w:rsid w:val="00FB7240"/>
    <w:rsid w:val="00FC0025"/>
    <w:rsid w:val="00FC3711"/>
    <w:rsid w:val="00FC3F42"/>
    <w:rsid w:val="00FC6DCC"/>
    <w:rsid w:val="00FD0A64"/>
    <w:rsid w:val="00FD2A77"/>
    <w:rsid w:val="00FE1BD6"/>
    <w:rsid w:val="00FF00F6"/>
    <w:rsid w:val="00FF087A"/>
    <w:rsid w:val="00FF7145"/>
  </w:rsids>
  <m:mathPr>
    <m:mathFont m:val="Cambria Math"/>
    <m:brkBin m:val="before"/>
    <m:brkBinSub m:val="--"/>
    <m:smallFrac/>
    <m:dispDef/>
    <m:lMargin m:val="0"/>
    <m:rMargin m:val="0"/>
    <m:defJc m:val="centerGroup"/>
    <m:wrapIndent m:val="1440"/>
    <m:intLim m:val="subSup"/>
    <m:naryLim m:val="undOvr"/>
  </m:mathPr>
  <w:themeFontLang w:val="en-GB"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D67F9F7"/>
  <w15:docId w15:val="{60C86538-8FBE-41D9-A8DF-7C3DBED9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4BC"/>
    <w:rPr>
      <w:rFonts w:asciiTheme="minorHAnsi" w:hAnsiTheme="minorHAnsi"/>
      <w:color w:val="3F3F3F" w:themeColor="text1"/>
      <w:sz w:val="20"/>
      <w:szCs w:val="22"/>
    </w:rPr>
  </w:style>
  <w:style w:type="paragraph" w:styleId="Heading1">
    <w:name w:val="heading 1"/>
    <w:basedOn w:val="Normal"/>
    <w:next w:val="Normal"/>
    <w:link w:val="Heading1Char"/>
    <w:uiPriority w:val="9"/>
    <w:rsid w:val="004B1EC3"/>
    <w:pPr>
      <w:keepNext/>
      <w:keepLines/>
      <w:spacing w:before="360" w:after="120"/>
      <w:outlineLvl w:val="0"/>
    </w:pPr>
    <w:rPr>
      <w:rFonts w:asciiTheme="majorHAnsi" w:eastAsia="MS Gothic" w:hAnsiTheme="majorHAnsi"/>
      <w:caps/>
      <w:color w:val="361C7F" w:themeColor="accent1"/>
      <w:sz w:val="36"/>
      <w:szCs w:val="36"/>
    </w:rPr>
  </w:style>
  <w:style w:type="paragraph" w:styleId="Heading2">
    <w:name w:val="heading 2"/>
    <w:basedOn w:val="Normal"/>
    <w:next w:val="Normal"/>
    <w:link w:val="Heading2Char"/>
    <w:uiPriority w:val="9"/>
    <w:unhideWhenUsed/>
    <w:qFormat/>
    <w:rsid w:val="00CD4A41"/>
    <w:pPr>
      <w:keepNext/>
      <w:keepLines/>
      <w:spacing w:before="360" w:after="120"/>
      <w:outlineLvl w:val="1"/>
    </w:pPr>
    <w:rPr>
      <w:rFonts w:asciiTheme="majorHAnsi" w:eastAsia="MS Gothic" w:hAnsiTheme="majorHAnsi"/>
      <w:color w:val="361C7F" w:themeColor="text2"/>
      <w:sz w:val="30"/>
      <w:szCs w:val="30"/>
    </w:rPr>
  </w:style>
  <w:style w:type="paragraph" w:styleId="Heading3">
    <w:name w:val="heading 3"/>
    <w:next w:val="Normal"/>
    <w:link w:val="Heading3Char"/>
    <w:uiPriority w:val="9"/>
    <w:unhideWhenUsed/>
    <w:qFormat/>
    <w:rsid w:val="003752DA"/>
    <w:pPr>
      <w:outlineLvl w:val="2"/>
    </w:pPr>
    <w:rPr>
      <w:rFonts w:asciiTheme="majorHAnsi" w:eastAsia="MS Gothic" w:hAnsiTheme="majorHAnsi" w:cstheme="majorHAnsi"/>
      <w:color w:val="361C7F" w:themeColor="text2"/>
    </w:rPr>
  </w:style>
  <w:style w:type="paragraph" w:styleId="Heading4">
    <w:name w:val="heading 4"/>
    <w:basedOn w:val="Normal"/>
    <w:next w:val="Normal"/>
    <w:link w:val="Heading4Char"/>
    <w:uiPriority w:val="9"/>
    <w:unhideWhenUsed/>
    <w:qFormat/>
    <w:rsid w:val="00C31B4F"/>
    <w:pPr>
      <w:keepNext/>
      <w:keepLines/>
      <w:spacing w:before="200"/>
      <w:outlineLvl w:val="3"/>
    </w:pPr>
    <w:rPr>
      <w:rFonts w:asciiTheme="majorHAnsi" w:eastAsia="MS Gothic" w:hAnsiTheme="majorHAnsi" w:cstheme="majorHAnsi"/>
      <w:i/>
      <w:color w:val="361C7F" w:themeColor="text2"/>
      <w:szCs w:val="20"/>
    </w:rPr>
  </w:style>
  <w:style w:type="paragraph" w:styleId="Heading5">
    <w:name w:val="heading 5"/>
    <w:basedOn w:val="Normal"/>
    <w:next w:val="Normal"/>
    <w:link w:val="Heading5Char"/>
    <w:uiPriority w:val="9"/>
    <w:unhideWhenUsed/>
    <w:rsid w:val="00792990"/>
    <w:pPr>
      <w:keepNext/>
      <w:keepLines/>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rsid w:val="00792990"/>
    <w:pPr>
      <w:keepNext/>
      <w:keepLines/>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rsid w:val="00792990"/>
    <w:pPr>
      <w:keepNext/>
      <w:keepLines/>
      <w:spacing w:before="200"/>
      <w:outlineLvl w:val="6"/>
    </w:pPr>
    <w:rPr>
      <w:rFonts w:ascii="Calibri" w:eastAsia="MS Gothic" w:hAnsi="Calibri"/>
      <w:i/>
      <w:iCs/>
    </w:rPr>
  </w:style>
  <w:style w:type="paragraph" w:styleId="Heading8">
    <w:name w:val="heading 8"/>
    <w:basedOn w:val="Normal"/>
    <w:next w:val="Normal"/>
    <w:link w:val="Heading8Char"/>
    <w:uiPriority w:val="9"/>
    <w:unhideWhenUsed/>
    <w:rsid w:val="00792990"/>
    <w:pPr>
      <w:keepNext/>
      <w:keepLines/>
      <w:spacing w:before="200"/>
      <w:outlineLvl w:val="7"/>
    </w:pPr>
    <w:rPr>
      <w:rFonts w:ascii="Calibri" w:eastAsia="MS Gothic" w:hAnsi="Calibri"/>
    </w:rPr>
  </w:style>
  <w:style w:type="paragraph" w:styleId="Heading9">
    <w:name w:val="heading 9"/>
    <w:aliases w:val="PULLQUOTE"/>
    <w:next w:val="Normal"/>
    <w:link w:val="Heading9Char"/>
    <w:uiPriority w:val="9"/>
    <w:unhideWhenUsed/>
    <w:qFormat/>
    <w:rsid w:val="005D33BC"/>
    <w:pPr>
      <w:spacing w:before="240" w:after="240"/>
      <w:ind w:right="1701"/>
      <w:outlineLvl w:val="8"/>
    </w:pPr>
    <w:rPr>
      <w:rFonts w:asciiTheme="majorHAnsi" w:eastAsia="MS Gothic" w:hAnsiTheme="majorHAnsi"/>
      <w:b/>
      <w:bCs/>
      <w:i/>
      <w:color w:val="361C7F" w:themeColor="accen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84A"/>
    <w:pPr>
      <w:tabs>
        <w:tab w:val="center" w:pos="4320"/>
        <w:tab w:val="right" w:pos="8640"/>
      </w:tabs>
    </w:pPr>
  </w:style>
  <w:style w:type="character" w:customStyle="1" w:styleId="HeaderChar">
    <w:name w:val="Header Char"/>
    <w:link w:val="Header"/>
    <w:uiPriority w:val="99"/>
    <w:rsid w:val="006F484A"/>
    <w:rPr>
      <w:rFonts w:ascii="Myriad Pro" w:hAnsi="Myriad Pro"/>
      <w:color w:val="404040"/>
      <w:sz w:val="24"/>
      <w:szCs w:val="24"/>
      <w:lang w:eastAsia="en-US"/>
    </w:rPr>
  </w:style>
  <w:style w:type="paragraph" w:styleId="Footer">
    <w:name w:val="footer"/>
    <w:basedOn w:val="Normal"/>
    <w:link w:val="FooterChar"/>
    <w:uiPriority w:val="99"/>
    <w:unhideWhenUsed/>
    <w:rsid w:val="006F484A"/>
    <w:pPr>
      <w:tabs>
        <w:tab w:val="center" w:pos="4320"/>
        <w:tab w:val="right" w:pos="8640"/>
      </w:tabs>
    </w:pPr>
  </w:style>
  <w:style w:type="character" w:customStyle="1" w:styleId="FooterChar">
    <w:name w:val="Footer Char"/>
    <w:link w:val="Footer"/>
    <w:uiPriority w:val="99"/>
    <w:rsid w:val="006F484A"/>
    <w:rPr>
      <w:rFonts w:ascii="Myriad Pro" w:hAnsi="Myriad Pro"/>
      <w:color w:val="404040"/>
      <w:sz w:val="24"/>
      <w:szCs w:val="24"/>
      <w:lang w:eastAsia="en-US"/>
    </w:rPr>
  </w:style>
  <w:style w:type="paragraph" w:styleId="BalloonText">
    <w:name w:val="Balloon Text"/>
    <w:basedOn w:val="Normal"/>
    <w:link w:val="BalloonTextChar"/>
    <w:uiPriority w:val="99"/>
    <w:semiHidden/>
    <w:unhideWhenUsed/>
    <w:rsid w:val="006F484A"/>
    <w:rPr>
      <w:rFonts w:ascii="Lucida Grande" w:hAnsi="Lucida Grande" w:cs="Lucida Grande"/>
      <w:sz w:val="18"/>
      <w:szCs w:val="18"/>
    </w:rPr>
  </w:style>
  <w:style w:type="character" w:customStyle="1" w:styleId="BalloonTextChar">
    <w:name w:val="Balloon Text Char"/>
    <w:link w:val="BalloonText"/>
    <w:uiPriority w:val="99"/>
    <w:semiHidden/>
    <w:rsid w:val="006F484A"/>
    <w:rPr>
      <w:rFonts w:ascii="Lucida Grande" w:hAnsi="Lucida Grande" w:cs="Lucida Grande"/>
      <w:color w:val="404040"/>
      <w:sz w:val="18"/>
      <w:szCs w:val="18"/>
      <w:lang w:eastAsia="en-US"/>
    </w:rPr>
  </w:style>
  <w:style w:type="character" w:customStyle="1" w:styleId="Heading1Char">
    <w:name w:val="Heading 1 Char"/>
    <w:link w:val="Heading1"/>
    <w:uiPriority w:val="9"/>
    <w:rsid w:val="004B1EC3"/>
    <w:rPr>
      <w:rFonts w:asciiTheme="majorHAnsi" w:eastAsia="MS Gothic" w:hAnsiTheme="majorHAnsi"/>
      <w:caps/>
      <w:color w:val="361C7F" w:themeColor="accent1"/>
      <w:sz w:val="36"/>
      <w:szCs w:val="36"/>
    </w:rPr>
  </w:style>
  <w:style w:type="character" w:customStyle="1" w:styleId="Heading2Char">
    <w:name w:val="Heading 2 Char"/>
    <w:link w:val="Heading2"/>
    <w:uiPriority w:val="9"/>
    <w:rsid w:val="00CD4A41"/>
    <w:rPr>
      <w:rFonts w:asciiTheme="majorHAnsi" w:eastAsia="MS Gothic" w:hAnsiTheme="majorHAnsi"/>
      <w:color w:val="361C7F" w:themeColor="text2"/>
      <w:sz w:val="30"/>
      <w:szCs w:val="30"/>
    </w:rPr>
  </w:style>
  <w:style w:type="character" w:customStyle="1" w:styleId="Heading3Char">
    <w:name w:val="Heading 3 Char"/>
    <w:link w:val="Heading3"/>
    <w:uiPriority w:val="9"/>
    <w:rsid w:val="003752DA"/>
    <w:rPr>
      <w:rFonts w:asciiTheme="majorHAnsi" w:eastAsia="MS Gothic" w:hAnsiTheme="majorHAnsi" w:cstheme="majorHAnsi"/>
      <w:color w:val="361C7F" w:themeColor="text2"/>
      <w:sz w:val="24"/>
      <w:szCs w:val="24"/>
    </w:rPr>
  </w:style>
  <w:style w:type="paragraph" w:styleId="Title">
    <w:name w:val="Title"/>
    <w:next w:val="Normal"/>
    <w:link w:val="TitleChar"/>
    <w:uiPriority w:val="10"/>
    <w:qFormat/>
    <w:rsid w:val="00296547"/>
    <w:pPr>
      <w:tabs>
        <w:tab w:val="left" w:pos="4536"/>
      </w:tabs>
      <w:spacing w:after="300"/>
      <w:contextualSpacing/>
    </w:pPr>
    <w:rPr>
      <w:rFonts w:asciiTheme="majorHAnsi" w:eastAsia="MS Gothic" w:hAnsiTheme="majorHAnsi"/>
      <w:caps/>
      <w:color w:val="FFFFFF" w:themeColor="background1"/>
      <w:spacing w:val="5"/>
      <w:kern w:val="28"/>
      <w:sz w:val="52"/>
      <w:szCs w:val="52"/>
    </w:rPr>
  </w:style>
  <w:style w:type="character" w:customStyle="1" w:styleId="TitleChar">
    <w:name w:val="Title Char"/>
    <w:link w:val="Title"/>
    <w:uiPriority w:val="10"/>
    <w:rsid w:val="00296547"/>
    <w:rPr>
      <w:rFonts w:asciiTheme="majorHAnsi" w:eastAsia="MS Gothic" w:hAnsiTheme="majorHAnsi"/>
      <w:caps/>
      <w:color w:val="FFFFFF" w:themeColor="background1"/>
      <w:spacing w:val="5"/>
      <w:kern w:val="28"/>
      <w:sz w:val="52"/>
      <w:szCs w:val="52"/>
    </w:rPr>
  </w:style>
  <w:style w:type="character" w:customStyle="1" w:styleId="Heading4Char">
    <w:name w:val="Heading 4 Char"/>
    <w:link w:val="Heading4"/>
    <w:uiPriority w:val="9"/>
    <w:rsid w:val="00C31B4F"/>
    <w:rPr>
      <w:rFonts w:asciiTheme="majorHAnsi" w:eastAsia="MS Gothic" w:hAnsiTheme="majorHAnsi" w:cstheme="majorHAnsi"/>
      <w:i/>
      <w:color w:val="361C7F" w:themeColor="text2"/>
    </w:rPr>
  </w:style>
  <w:style w:type="character" w:customStyle="1" w:styleId="Heading5Char">
    <w:name w:val="Heading 5 Char"/>
    <w:link w:val="Heading5"/>
    <w:uiPriority w:val="9"/>
    <w:rsid w:val="00792990"/>
    <w:rPr>
      <w:rFonts w:ascii="Calibri" w:eastAsia="MS Gothic" w:hAnsi="Calibri" w:cs="Times New Roman"/>
      <w:color w:val="243F60"/>
      <w:sz w:val="24"/>
      <w:szCs w:val="24"/>
      <w:lang w:eastAsia="en-US"/>
    </w:rPr>
  </w:style>
  <w:style w:type="paragraph" w:styleId="NoSpacing">
    <w:name w:val="No Spacing"/>
    <w:uiPriority w:val="1"/>
    <w:qFormat/>
    <w:rsid w:val="00370F32"/>
    <w:rPr>
      <w:rFonts w:ascii="Myriad Pro" w:hAnsi="Myriad Pro"/>
      <w:color w:val="404040"/>
      <w:sz w:val="22"/>
    </w:rPr>
  </w:style>
  <w:style w:type="character" w:customStyle="1" w:styleId="Heading6Char">
    <w:name w:val="Heading 6 Char"/>
    <w:link w:val="Heading6"/>
    <w:uiPriority w:val="9"/>
    <w:rsid w:val="00792990"/>
    <w:rPr>
      <w:rFonts w:ascii="Calibri" w:eastAsia="MS Gothic" w:hAnsi="Calibri" w:cs="Times New Roman"/>
      <w:i/>
      <w:iCs/>
      <w:color w:val="243F60"/>
      <w:sz w:val="24"/>
      <w:szCs w:val="24"/>
      <w:lang w:eastAsia="en-US"/>
    </w:rPr>
  </w:style>
  <w:style w:type="character" w:customStyle="1" w:styleId="Heading7Char">
    <w:name w:val="Heading 7 Char"/>
    <w:link w:val="Heading7"/>
    <w:uiPriority w:val="9"/>
    <w:rsid w:val="00792990"/>
    <w:rPr>
      <w:rFonts w:ascii="Calibri" w:eastAsia="MS Gothic" w:hAnsi="Calibri" w:cs="Times New Roman"/>
      <w:i/>
      <w:iCs/>
      <w:color w:val="404040"/>
      <w:sz w:val="24"/>
      <w:szCs w:val="24"/>
      <w:lang w:eastAsia="en-US"/>
    </w:rPr>
  </w:style>
  <w:style w:type="character" w:customStyle="1" w:styleId="Heading8Char">
    <w:name w:val="Heading 8 Char"/>
    <w:link w:val="Heading8"/>
    <w:uiPriority w:val="9"/>
    <w:rsid w:val="00792990"/>
    <w:rPr>
      <w:rFonts w:ascii="Calibri" w:eastAsia="MS Gothic" w:hAnsi="Calibri" w:cs="Times New Roman"/>
      <w:color w:val="404040"/>
      <w:lang w:eastAsia="en-US"/>
    </w:rPr>
  </w:style>
  <w:style w:type="character" w:customStyle="1" w:styleId="Heading9Char">
    <w:name w:val="Heading 9 Char"/>
    <w:aliases w:val="PULLQUOTE Char"/>
    <w:link w:val="Heading9"/>
    <w:uiPriority w:val="9"/>
    <w:rsid w:val="005D33BC"/>
    <w:rPr>
      <w:rFonts w:asciiTheme="majorHAnsi" w:eastAsia="MS Gothic" w:hAnsiTheme="majorHAnsi"/>
      <w:b/>
      <w:bCs/>
      <w:i/>
      <w:color w:val="361C7F" w:themeColor="accent1"/>
      <w:sz w:val="36"/>
      <w:szCs w:val="36"/>
    </w:rPr>
  </w:style>
  <w:style w:type="paragraph" w:customStyle="1" w:styleId="1Bodytext">
    <w:name w:val="1 Body text"/>
    <w:basedOn w:val="Normal"/>
    <w:uiPriority w:val="99"/>
    <w:rsid w:val="00361F1D"/>
    <w:pPr>
      <w:widowControl w:val="0"/>
      <w:tabs>
        <w:tab w:val="left" w:pos="227"/>
        <w:tab w:val="left" w:pos="397"/>
        <w:tab w:val="left" w:pos="1134"/>
        <w:tab w:val="left" w:pos="1701"/>
        <w:tab w:val="left" w:pos="2268"/>
        <w:tab w:val="left" w:pos="2835"/>
        <w:tab w:val="left" w:pos="3402"/>
      </w:tabs>
      <w:autoSpaceDE w:val="0"/>
      <w:autoSpaceDN w:val="0"/>
      <w:adjustRightInd w:val="0"/>
      <w:spacing w:line="250" w:lineRule="atLeast"/>
      <w:ind w:firstLine="227"/>
      <w:jc w:val="both"/>
      <w:textAlignment w:val="center"/>
    </w:pPr>
    <w:rPr>
      <w:rFonts w:ascii="MetaNormal-Roman" w:hAnsi="MetaNormal-Roman" w:cs="MetaNormal-Roman"/>
      <w:color w:val="000000"/>
      <w:spacing w:val="-2"/>
      <w:lang w:eastAsia="ja-JP"/>
    </w:rPr>
  </w:style>
  <w:style w:type="paragraph" w:customStyle="1" w:styleId="2Bodynoindent">
    <w:name w:val="2 Body no indent"/>
    <w:basedOn w:val="1Bodytext"/>
    <w:uiPriority w:val="99"/>
    <w:rsid w:val="00361F1D"/>
    <w:pPr>
      <w:ind w:firstLine="0"/>
    </w:pPr>
  </w:style>
  <w:style w:type="paragraph" w:customStyle="1" w:styleId="4Subhead">
    <w:name w:val="4 Subhead"/>
    <w:basedOn w:val="Normal"/>
    <w:uiPriority w:val="99"/>
    <w:rsid w:val="00361F1D"/>
    <w:pPr>
      <w:widowControl w:val="0"/>
      <w:suppressAutoHyphens/>
      <w:autoSpaceDE w:val="0"/>
      <w:autoSpaceDN w:val="0"/>
      <w:adjustRightInd w:val="0"/>
      <w:spacing w:before="85" w:line="280" w:lineRule="atLeast"/>
      <w:textAlignment w:val="center"/>
    </w:pPr>
    <w:rPr>
      <w:rFonts w:ascii="MetaBold-Roman" w:hAnsi="MetaBold-Roman" w:cs="MetaBold-Roman"/>
      <w:color w:val="003D7D"/>
      <w:spacing w:val="6"/>
      <w:lang w:eastAsia="ja-JP"/>
    </w:rPr>
  </w:style>
  <w:style w:type="paragraph" w:customStyle="1" w:styleId="6Bullettext">
    <w:name w:val="6 Bullet text"/>
    <w:basedOn w:val="2Bodynoindent"/>
    <w:uiPriority w:val="99"/>
    <w:rsid w:val="00361F1D"/>
    <w:pPr>
      <w:ind w:left="227" w:hanging="227"/>
    </w:pPr>
  </w:style>
  <w:style w:type="paragraph" w:styleId="ListParagraph">
    <w:name w:val="List Paragraph"/>
    <w:aliases w:val="Dot pt,No Spacing1,List Paragraph Char Char Char,Indicator Text,List Paragraph1,Numbered Para 1,List Paragraph12,Bullet Points,MAIN CONTENT,Colorful List - Accent 11,Bullet 1,F5 List Paragraph,Paragraphe de liste rapport atelier Mada"/>
    <w:basedOn w:val="Normal"/>
    <w:link w:val="ListParagraphChar"/>
    <w:uiPriority w:val="34"/>
    <w:qFormat/>
    <w:rsid w:val="009A5610"/>
    <w:pPr>
      <w:spacing w:after="200"/>
      <w:contextualSpacing/>
    </w:pPr>
    <w:rPr>
      <w:szCs w:val="20"/>
    </w:rPr>
  </w:style>
  <w:style w:type="paragraph" w:customStyle="1" w:styleId="AUTHOR">
    <w:name w:val="AUTHOR"/>
    <w:basedOn w:val="Date1"/>
    <w:next w:val="Date1"/>
    <w:qFormat/>
    <w:rsid w:val="00D8189B"/>
  </w:style>
  <w:style w:type="paragraph" w:customStyle="1" w:styleId="Date1">
    <w:name w:val="Date1"/>
    <w:qFormat/>
    <w:rsid w:val="00D8189B"/>
    <w:pPr>
      <w:spacing w:before="240"/>
      <w:jc w:val="right"/>
    </w:pPr>
    <w:rPr>
      <w:rFonts w:asciiTheme="majorHAnsi" w:eastAsia="MS Gothic" w:hAnsiTheme="majorHAnsi"/>
      <w:color w:val="FFFFFF" w:themeColor="background1"/>
      <w:spacing w:val="5"/>
      <w:kern w:val="28"/>
      <w:sz w:val="28"/>
      <w:szCs w:val="28"/>
    </w:rPr>
  </w:style>
  <w:style w:type="character" w:styleId="BookTitle">
    <w:name w:val="Book Title"/>
    <w:uiPriority w:val="33"/>
    <w:rsid w:val="0069030E"/>
    <w:rPr>
      <w:b/>
      <w:bCs/>
      <w:smallCaps/>
      <w:spacing w:val="5"/>
    </w:rPr>
  </w:style>
  <w:style w:type="character" w:styleId="IntenseReference">
    <w:name w:val="Intense Reference"/>
    <w:uiPriority w:val="32"/>
    <w:rsid w:val="0069030E"/>
    <w:rPr>
      <w:b/>
      <w:bCs/>
      <w:smallCaps/>
      <w:color w:val="C0504D"/>
      <w:spacing w:val="5"/>
      <w:u w:val="single"/>
    </w:rPr>
  </w:style>
  <w:style w:type="paragraph" w:styleId="Quote">
    <w:name w:val="Quote"/>
    <w:aliases w:val="Italic"/>
    <w:basedOn w:val="Normal"/>
    <w:next w:val="Normal"/>
    <w:link w:val="QuoteChar"/>
    <w:uiPriority w:val="29"/>
    <w:qFormat/>
    <w:rsid w:val="00FC3F42"/>
    <w:rPr>
      <w:i/>
      <w:iCs/>
    </w:rPr>
  </w:style>
  <w:style w:type="character" w:customStyle="1" w:styleId="QuoteChar">
    <w:name w:val="Quote Char"/>
    <w:aliases w:val="Italic Char"/>
    <w:link w:val="Quote"/>
    <w:uiPriority w:val="29"/>
    <w:rsid w:val="00FC3F42"/>
    <w:rPr>
      <w:rFonts w:ascii="Myriad Pro" w:hAnsi="Myriad Pro"/>
      <w:i/>
      <w:iCs/>
      <w:color w:val="404040"/>
      <w:sz w:val="22"/>
      <w:szCs w:val="24"/>
    </w:rPr>
  </w:style>
  <w:style w:type="paragraph" w:styleId="FootnoteText">
    <w:name w:val="footnote text"/>
    <w:aliases w:val="Footnote Text Char Char,Footnote Text Char Char Char,Footnote Text Char Char Char Char,Footnote Text Char Char Char1 Char,Footnote Text Char Char Char Char Char,Footnote Text Char Char Char Char Char Char Char Char,DSE note,DSE note1,ft,fn"/>
    <w:basedOn w:val="Normal"/>
    <w:link w:val="FootnoteTextChar"/>
    <w:unhideWhenUsed/>
    <w:qFormat/>
    <w:rsid w:val="004E2975"/>
    <w:pPr>
      <w:spacing w:before="120"/>
    </w:pPr>
    <w:rPr>
      <w:sz w:val="16"/>
      <w:szCs w:val="16"/>
    </w:rPr>
  </w:style>
  <w:style w:type="character" w:customStyle="1" w:styleId="FootnoteTextChar">
    <w:name w:val="Footnote Text Char"/>
    <w:aliases w:val="Footnote Text Char Char Char1,Footnote Text Char Char Char Char1,Footnote Text Char Char Char Char Char1,Footnote Text Char Char Char1 Char Char,Footnote Text Char Char Char Char Char Char,DSE note Char,DSE note1 Char,ft Char,fn Char"/>
    <w:link w:val="FootnoteText"/>
    <w:rsid w:val="004E2975"/>
    <w:rPr>
      <w:rFonts w:asciiTheme="minorHAnsi" w:hAnsiTheme="minorHAnsi"/>
      <w:color w:val="3F3F3F" w:themeColor="text1"/>
      <w:sz w:val="16"/>
      <w:szCs w:val="16"/>
    </w:rPr>
  </w:style>
  <w:style w:type="character" w:styleId="FootnoteReference">
    <w:name w:val="footnote reference"/>
    <w:aliases w:val="ftref,BVI fnr,Ref,de nota al pie,16 Point,Superscript 6 Point,Char Char Char Char Car Char, BVI fnr,Footnote Reference Number,Error-Fußnotenzeichen5,Error-Fußnotenzeichen6,Error-Fußnotenzeichen3,Footnote Reference1,Footnote,Car1,Ref1"/>
    <w:uiPriority w:val="99"/>
    <w:unhideWhenUsed/>
    <w:qFormat/>
    <w:rsid w:val="00FC3F42"/>
    <w:rPr>
      <w:vertAlign w:val="superscript"/>
    </w:rPr>
  </w:style>
  <w:style w:type="paragraph" w:styleId="Subtitle">
    <w:name w:val="Subtitle"/>
    <w:next w:val="Normal"/>
    <w:link w:val="SubtitleChar"/>
    <w:uiPriority w:val="11"/>
    <w:qFormat/>
    <w:rsid w:val="00296547"/>
    <w:pPr>
      <w:spacing w:after="60"/>
      <w:outlineLvl w:val="1"/>
    </w:pPr>
    <w:rPr>
      <w:rFonts w:asciiTheme="majorHAnsi" w:eastAsiaTheme="majorEastAsia" w:hAnsiTheme="majorHAnsi" w:cstheme="majorBidi"/>
      <w:color w:val="FFFFFF" w:themeColor="background1"/>
      <w:sz w:val="40"/>
      <w:szCs w:val="40"/>
    </w:rPr>
  </w:style>
  <w:style w:type="character" w:customStyle="1" w:styleId="SubtitleChar">
    <w:name w:val="Subtitle Char"/>
    <w:basedOn w:val="DefaultParagraphFont"/>
    <w:link w:val="Subtitle"/>
    <w:uiPriority w:val="11"/>
    <w:rsid w:val="00296547"/>
    <w:rPr>
      <w:rFonts w:asciiTheme="majorHAnsi" w:eastAsiaTheme="majorEastAsia" w:hAnsiTheme="majorHAnsi" w:cstheme="majorBidi"/>
      <w:color w:val="FFFFFF" w:themeColor="background1"/>
      <w:sz w:val="40"/>
      <w:szCs w:val="40"/>
    </w:rPr>
  </w:style>
  <w:style w:type="paragraph" w:styleId="NormalWeb">
    <w:name w:val="Normal (Web)"/>
    <w:basedOn w:val="Normal"/>
    <w:uiPriority w:val="99"/>
    <w:unhideWhenUsed/>
    <w:rsid w:val="00486E63"/>
    <w:pPr>
      <w:spacing w:before="100" w:beforeAutospacing="1" w:after="100" w:afterAutospacing="1"/>
    </w:pPr>
    <w:rPr>
      <w:rFonts w:ascii="Times" w:hAnsi="Times"/>
      <w:color w:val="auto"/>
    </w:rPr>
  </w:style>
  <w:style w:type="character" w:customStyle="1" w:styleId="apple-converted-space">
    <w:name w:val="apple-converted-space"/>
    <w:rsid w:val="00486E63"/>
  </w:style>
  <w:style w:type="character" w:styleId="Hyperlink">
    <w:name w:val="Hyperlink"/>
    <w:uiPriority w:val="99"/>
    <w:unhideWhenUsed/>
    <w:rsid w:val="00486E63"/>
    <w:rPr>
      <w:color w:val="0000FF"/>
      <w:u w:val="single"/>
    </w:rPr>
  </w:style>
  <w:style w:type="table" w:styleId="TableGrid">
    <w:name w:val="Table Grid"/>
    <w:basedOn w:val="TableNormal"/>
    <w:uiPriority w:val="39"/>
    <w:rsid w:val="005A6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5A6DE7"/>
    <w:rPr>
      <w:color w:val="9A7734" w:themeColor="accent2" w:themeShade="BF"/>
    </w:rPr>
    <w:tblPr>
      <w:tblStyleRowBandSize w:val="1"/>
      <w:tblStyleColBandSize w:val="1"/>
      <w:tblBorders>
        <w:top w:val="single" w:sz="8" w:space="0" w:color="C49C51" w:themeColor="accent2"/>
        <w:bottom w:val="single" w:sz="8" w:space="0" w:color="C49C51" w:themeColor="accent2"/>
      </w:tblBorders>
    </w:tblPr>
    <w:tblStylePr w:type="firstRow">
      <w:pPr>
        <w:spacing w:before="0" w:after="0" w:line="240" w:lineRule="auto"/>
      </w:pPr>
      <w:rPr>
        <w:b/>
        <w:bCs/>
      </w:rPr>
      <w:tblPr/>
      <w:tcPr>
        <w:tcBorders>
          <w:top w:val="single" w:sz="8" w:space="0" w:color="C49C51" w:themeColor="accent2"/>
          <w:left w:val="nil"/>
          <w:bottom w:val="single" w:sz="8" w:space="0" w:color="C49C51" w:themeColor="accent2"/>
          <w:right w:val="nil"/>
          <w:insideH w:val="nil"/>
          <w:insideV w:val="nil"/>
        </w:tcBorders>
      </w:tcPr>
    </w:tblStylePr>
    <w:tblStylePr w:type="lastRow">
      <w:pPr>
        <w:spacing w:before="0" w:after="0" w:line="240" w:lineRule="auto"/>
      </w:pPr>
      <w:rPr>
        <w:b/>
        <w:bCs/>
      </w:rPr>
      <w:tblPr/>
      <w:tcPr>
        <w:tcBorders>
          <w:top w:val="single" w:sz="8" w:space="0" w:color="C49C51" w:themeColor="accent2"/>
          <w:left w:val="nil"/>
          <w:bottom w:val="single" w:sz="8" w:space="0" w:color="C49C5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E6D3" w:themeFill="accent2" w:themeFillTint="3F"/>
      </w:tcPr>
    </w:tblStylePr>
    <w:tblStylePr w:type="band1Horz">
      <w:tblPr/>
      <w:tcPr>
        <w:tcBorders>
          <w:left w:val="nil"/>
          <w:right w:val="nil"/>
          <w:insideH w:val="nil"/>
          <w:insideV w:val="nil"/>
        </w:tcBorders>
        <w:shd w:val="clear" w:color="auto" w:fill="F0E6D3" w:themeFill="accent2" w:themeFillTint="3F"/>
      </w:tcPr>
    </w:tblStylePr>
  </w:style>
  <w:style w:type="table" w:styleId="LightShading-Accent1">
    <w:name w:val="Light Shading Accent 1"/>
    <w:basedOn w:val="TableNormal"/>
    <w:uiPriority w:val="60"/>
    <w:rsid w:val="005A6DE7"/>
    <w:rPr>
      <w:color w:val="28155F" w:themeColor="accent1" w:themeShade="BF"/>
    </w:rPr>
    <w:tblPr>
      <w:tblStyleRowBandSize w:val="1"/>
      <w:tblStyleColBandSize w:val="1"/>
      <w:tblBorders>
        <w:top w:val="single" w:sz="8" w:space="0" w:color="361C7F" w:themeColor="accent1"/>
        <w:bottom w:val="single" w:sz="8" w:space="0" w:color="361C7F" w:themeColor="accent1"/>
      </w:tblBorders>
    </w:tblPr>
    <w:tblStylePr w:type="firstRow">
      <w:pPr>
        <w:spacing w:before="0" w:after="0" w:line="240" w:lineRule="auto"/>
      </w:pPr>
      <w:rPr>
        <w:b/>
        <w:bCs/>
      </w:rPr>
      <w:tblPr/>
      <w:tcPr>
        <w:tcBorders>
          <w:top w:val="single" w:sz="8" w:space="0" w:color="361C7F" w:themeColor="accent1"/>
          <w:left w:val="nil"/>
          <w:bottom w:val="single" w:sz="8" w:space="0" w:color="361C7F" w:themeColor="accent1"/>
          <w:right w:val="nil"/>
          <w:insideH w:val="nil"/>
          <w:insideV w:val="nil"/>
        </w:tcBorders>
      </w:tcPr>
    </w:tblStylePr>
    <w:tblStylePr w:type="lastRow">
      <w:pPr>
        <w:spacing w:before="0" w:after="0" w:line="240" w:lineRule="auto"/>
      </w:pPr>
      <w:rPr>
        <w:b/>
        <w:bCs/>
      </w:rPr>
      <w:tblPr/>
      <w:tcPr>
        <w:tcBorders>
          <w:top w:val="single" w:sz="8" w:space="0" w:color="361C7F" w:themeColor="accent1"/>
          <w:left w:val="nil"/>
          <w:bottom w:val="single" w:sz="8" w:space="0" w:color="361C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B6EF" w:themeFill="accent1" w:themeFillTint="3F"/>
      </w:tcPr>
    </w:tblStylePr>
    <w:tblStylePr w:type="band1Horz">
      <w:tblPr/>
      <w:tcPr>
        <w:tcBorders>
          <w:left w:val="nil"/>
          <w:right w:val="nil"/>
          <w:insideH w:val="nil"/>
          <w:insideV w:val="nil"/>
        </w:tcBorders>
        <w:shd w:val="clear" w:color="auto" w:fill="C5B6EF" w:themeFill="accent1" w:themeFillTint="3F"/>
      </w:tcPr>
    </w:tblStylePr>
  </w:style>
  <w:style w:type="table" w:styleId="LightShading">
    <w:name w:val="Light Shading"/>
    <w:basedOn w:val="TableNormal"/>
    <w:uiPriority w:val="60"/>
    <w:rsid w:val="005A6DE7"/>
    <w:rPr>
      <w:color w:val="2F2F2F" w:themeColor="text1" w:themeShade="BF"/>
    </w:rPr>
    <w:tblPr>
      <w:tblStyleRowBandSize w:val="1"/>
      <w:tblStyleColBandSize w:val="1"/>
      <w:tblBorders>
        <w:top w:val="single" w:sz="8" w:space="0" w:color="3F3F3F" w:themeColor="text1"/>
        <w:bottom w:val="single" w:sz="8" w:space="0" w:color="3F3F3F" w:themeColor="text1"/>
      </w:tblBorders>
    </w:tblPr>
    <w:tblStylePr w:type="fir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la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3">
    <w:name w:val="Light Shading Accent 3"/>
    <w:basedOn w:val="TableNormal"/>
    <w:uiPriority w:val="60"/>
    <w:rsid w:val="005A6DE7"/>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rsid w:val="005A6DE7"/>
    <w:rPr>
      <w:color w:val="9B352E" w:themeColor="accent4" w:themeShade="BF"/>
    </w:rPr>
    <w:tblPr>
      <w:tblStyleRowBandSize w:val="1"/>
      <w:tblStyleColBandSize w:val="1"/>
      <w:tblBorders>
        <w:top w:val="single" w:sz="8" w:space="0" w:color="C84F46" w:themeColor="accent4"/>
        <w:bottom w:val="single" w:sz="8" w:space="0" w:color="C84F46" w:themeColor="accent4"/>
      </w:tblBorders>
    </w:tblPr>
    <w:tblStylePr w:type="firstRow">
      <w:pPr>
        <w:spacing w:before="0" w:after="0" w:line="240" w:lineRule="auto"/>
      </w:pPr>
      <w:rPr>
        <w:b/>
        <w:bCs/>
      </w:rPr>
      <w:tblPr/>
      <w:tcPr>
        <w:tcBorders>
          <w:top w:val="single" w:sz="8" w:space="0" w:color="C84F46" w:themeColor="accent4"/>
          <w:left w:val="nil"/>
          <w:bottom w:val="single" w:sz="8" w:space="0" w:color="C84F46" w:themeColor="accent4"/>
          <w:right w:val="nil"/>
          <w:insideH w:val="nil"/>
          <w:insideV w:val="nil"/>
        </w:tcBorders>
      </w:tcPr>
    </w:tblStylePr>
    <w:tblStylePr w:type="lastRow">
      <w:pPr>
        <w:spacing w:before="0" w:after="0" w:line="240" w:lineRule="auto"/>
      </w:pPr>
      <w:rPr>
        <w:b/>
        <w:bCs/>
      </w:rPr>
      <w:tblPr/>
      <w:tcPr>
        <w:tcBorders>
          <w:top w:val="single" w:sz="8" w:space="0" w:color="C84F46" w:themeColor="accent4"/>
          <w:left w:val="nil"/>
          <w:bottom w:val="single" w:sz="8" w:space="0" w:color="C84F4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3D1" w:themeFill="accent4" w:themeFillTint="3F"/>
      </w:tcPr>
    </w:tblStylePr>
    <w:tblStylePr w:type="band1Horz">
      <w:tblPr/>
      <w:tcPr>
        <w:tcBorders>
          <w:left w:val="nil"/>
          <w:right w:val="nil"/>
          <w:insideH w:val="nil"/>
          <w:insideV w:val="nil"/>
        </w:tcBorders>
        <w:shd w:val="clear" w:color="auto" w:fill="F1D3D1" w:themeFill="accent4" w:themeFillTint="3F"/>
      </w:tcPr>
    </w:tblStylePr>
  </w:style>
  <w:style w:type="table" w:styleId="LightShading-Accent5">
    <w:name w:val="Light Shading Accent 5"/>
    <w:basedOn w:val="TableNormal"/>
    <w:uiPriority w:val="60"/>
    <w:rsid w:val="005A6DE7"/>
    <w:rPr>
      <w:color w:val="1E5B8C" w:themeColor="accent5" w:themeShade="BF"/>
    </w:rPr>
    <w:tblPr>
      <w:tblStyleRowBandSize w:val="1"/>
      <w:tblStyleColBandSize w:val="1"/>
      <w:tblBorders>
        <w:top w:val="single" w:sz="8" w:space="0" w:color="287ABB" w:themeColor="accent5"/>
        <w:bottom w:val="single" w:sz="8" w:space="0" w:color="287ABB" w:themeColor="accent5"/>
      </w:tblBorders>
    </w:tblPr>
    <w:tblStylePr w:type="firstRow">
      <w:pPr>
        <w:spacing w:before="0" w:after="0" w:line="240" w:lineRule="auto"/>
      </w:pPr>
      <w:rPr>
        <w:b/>
        <w:bCs/>
      </w:rPr>
      <w:tblPr/>
      <w:tcPr>
        <w:tcBorders>
          <w:top w:val="single" w:sz="8" w:space="0" w:color="287ABB" w:themeColor="accent5"/>
          <w:left w:val="nil"/>
          <w:bottom w:val="single" w:sz="8" w:space="0" w:color="287ABB" w:themeColor="accent5"/>
          <w:right w:val="nil"/>
          <w:insideH w:val="nil"/>
          <w:insideV w:val="nil"/>
        </w:tcBorders>
      </w:tcPr>
    </w:tblStylePr>
    <w:tblStylePr w:type="lastRow">
      <w:pPr>
        <w:spacing w:before="0" w:after="0" w:line="240" w:lineRule="auto"/>
      </w:pPr>
      <w:rPr>
        <w:b/>
        <w:bCs/>
      </w:rPr>
      <w:tblPr/>
      <w:tcPr>
        <w:tcBorders>
          <w:top w:val="single" w:sz="8" w:space="0" w:color="287ABB" w:themeColor="accent5"/>
          <w:left w:val="nil"/>
          <w:bottom w:val="single" w:sz="8" w:space="0" w:color="287AB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DEF2" w:themeFill="accent5" w:themeFillTint="3F"/>
      </w:tcPr>
    </w:tblStylePr>
    <w:tblStylePr w:type="band1Horz">
      <w:tblPr/>
      <w:tcPr>
        <w:tcBorders>
          <w:left w:val="nil"/>
          <w:right w:val="nil"/>
          <w:insideH w:val="nil"/>
          <w:insideV w:val="nil"/>
        </w:tcBorders>
        <w:shd w:val="clear" w:color="auto" w:fill="C5DEF2" w:themeFill="accent5" w:themeFillTint="3F"/>
      </w:tcPr>
    </w:tblStylePr>
  </w:style>
  <w:style w:type="table" w:styleId="LightList">
    <w:name w:val="Light List"/>
    <w:basedOn w:val="TableNormal"/>
    <w:uiPriority w:val="61"/>
    <w:rsid w:val="005A6DE7"/>
    <w:tblPr>
      <w:tblStyleRowBandSize w:val="1"/>
      <w:tblStyleColBandSize w:val="1"/>
      <w:tblBorders>
        <w:top w:val="single" w:sz="8" w:space="0" w:color="3F3F3F" w:themeColor="text1"/>
        <w:left w:val="single" w:sz="8" w:space="0" w:color="3F3F3F" w:themeColor="text1"/>
        <w:bottom w:val="single" w:sz="8" w:space="0" w:color="3F3F3F" w:themeColor="text1"/>
        <w:right w:val="single" w:sz="8" w:space="0" w:color="3F3F3F" w:themeColor="text1"/>
      </w:tblBorders>
    </w:tblPr>
    <w:tblStylePr w:type="firstRow">
      <w:pPr>
        <w:spacing w:before="0" w:after="0" w:line="240" w:lineRule="auto"/>
      </w:pPr>
      <w:rPr>
        <w:b/>
        <w:bCs/>
        <w:color w:val="FFFFFF" w:themeColor="background1"/>
      </w:rPr>
      <w:tblPr/>
      <w:tcPr>
        <w:shd w:val="clear" w:color="auto" w:fill="3F3F3F" w:themeFill="text1"/>
      </w:tcPr>
    </w:tblStylePr>
    <w:tblStylePr w:type="lastRow">
      <w:pPr>
        <w:spacing w:before="0" w:after="0" w:line="240" w:lineRule="auto"/>
      </w:pPr>
      <w:rPr>
        <w:b/>
        <w:bCs/>
      </w:rPr>
      <w:tblPr/>
      <w:tcPr>
        <w:tcBorders>
          <w:top w:val="double" w:sz="6" w:space="0" w:color="3F3F3F" w:themeColor="text1"/>
          <w:left w:val="single" w:sz="8" w:space="0" w:color="3F3F3F" w:themeColor="text1"/>
          <w:bottom w:val="single" w:sz="8" w:space="0" w:color="3F3F3F" w:themeColor="text1"/>
          <w:right w:val="single" w:sz="8" w:space="0" w:color="3F3F3F" w:themeColor="text1"/>
        </w:tcBorders>
      </w:tcPr>
    </w:tblStylePr>
    <w:tblStylePr w:type="firstCol">
      <w:rPr>
        <w:b/>
        <w:bCs/>
      </w:rPr>
    </w:tblStylePr>
    <w:tblStylePr w:type="lastCol">
      <w:rPr>
        <w:b/>
        <w:bCs/>
      </w:rPr>
    </w:tblStylePr>
    <w:tblStylePr w:type="band1Vert">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tblStylePr w:type="band1Horz">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style>
  <w:style w:type="table" w:styleId="LightList-Accent1">
    <w:name w:val="Light List Accent 1"/>
    <w:basedOn w:val="TableNormal"/>
    <w:uiPriority w:val="61"/>
    <w:rsid w:val="000519FA"/>
    <w:tblPr>
      <w:tblStyleRowBandSize w:val="1"/>
      <w:tblStyleColBandSize w:val="1"/>
      <w:tblBorders>
        <w:insideH w:val="single" w:sz="8" w:space="0" w:color="361C7F" w:themeColor="accent1"/>
      </w:tblBorders>
    </w:tblPr>
    <w:tcPr>
      <w:shd w:val="solid" w:color="7350D8" w:themeColor="accent1" w:themeTint="99" w:fill="6CAB64"/>
    </w:tcPr>
    <w:tblStylePr w:type="firstRow">
      <w:pPr>
        <w:spacing w:before="0" w:after="0" w:line="240" w:lineRule="auto"/>
      </w:pPr>
      <w:rPr>
        <w:b/>
        <w:bCs/>
        <w:color w:val="FFFFFF" w:themeColor="background1"/>
      </w:rPr>
      <w:tblPr/>
      <w:tcPr>
        <w:tcBorders>
          <w:top w:val="nil"/>
          <w:left w:val="nil"/>
          <w:bottom w:val="single" w:sz="24" w:space="0" w:color="FFFFFF" w:themeColor="background1"/>
          <w:right w:val="nil"/>
          <w:insideH w:val="nil"/>
          <w:insideV w:val="nil"/>
          <w:tl2br w:val="nil"/>
          <w:tr2bl w:val="nil"/>
        </w:tcBorders>
        <w:shd w:val="solid" w:color="7350D8" w:themeColor="accent1" w:themeTint="99" w:fill="361C7F" w:themeFill="accent1"/>
      </w:tcPr>
    </w:tblStylePr>
    <w:tblStylePr w:type="lastRow">
      <w:pPr>
        <w:spacing w:before="0" w:after="0" w:line="240" w:lineRule="auto"/>
      </w:pPr>
      <w:rPr>
        <w:b/>
        <w:bCs/>
      </w:rPr>
      <w:tblPr/>
      <w:tcPr>
        <w:tcBorders>
          <w:top w:val="double" w:sz="6" w:space="0" w:color="361C7F" w:themeColor="accent1"/>
          <w:left w:val="nil"/>
          <w:bottom w:val="nil"/>
          <w:right w:val="nil"/>
        </w:tcBorders>
        <w:shd w:val="solid" w:color="7350D8" w:themeColor="accent1" w:themeTint="99" w:fill="6CAB64"/>
      </w:tcPr>
    </w:tblStylePr>
    <w:tblStylePr w:type="firstCol">
      <w:rPr>
        <w:b/>
        <w:bCs/>
      </w:rPr>
    </w:tblStylePr>
    <w:tblStylePr w:type="lastCol">
      <w:rPr>
        <w:b/>
        <w:bCs/>
      </w:rPr>
    </w:tblStylePr>
    <w:tblStylePr w:type="band1Vert">
      <w:tblPr/>
      <w:tcPr>
        <w:tcBorders>
          <w:top w:val="single" w:sz="8" w:space="0" w:color="361C7F" w:themeColor="accent1"/>
          <w:left w:val="single" w:sz="8" w:space="0" w:color="361C7F" w:themeColor="accent1"/>
          <w:bottom w:val="single" w:sz="8" w:space="0" w:color="361C7F" w:themeColor="accent1"/>
          <w:right w:val="single" w:sz="8" w:space="0" w:color="361C7F" w:themeColor="accent1"/>
        </w:tcBorders>
      </w:tcPr>
    </w:tblStylePr>
    <w:tblStylePr w:type="band1Horz">
      <w:tblPr/>
      <w:tcPr>
        <w:tcBorders>
          <w:top w:val="nil"/>
          <w:left w:val="nil"/>
          <w:bottom w:val="nil"/>
          <w:right w:val="nil"/>
          <w:insideH w:val="nil"/>
          <w:insideV w:val="nil"/>
          <w:tl2br w:val="nil"/>
          <w:tr2bl w:val="nil"/>
        </w:tcBorders>
        <w:shd w:val="solid" w:color="7350D8" w:themeColor="accent1" w:themeTint="99" w:fill="6CAB64"/>
      </w:tcPr>
    </w:tblStylePr>
    <w:tblStylePr w:type="band2Horz">
      <w:tblPr/>
      <w:tcPr>
        <w:tcBorders>
          <w:top w:val="nil"/>
          <w:left w:val="nil"/>
          <w:bottom w:val="nil"/>
          <w:right w:val="nil"/>
          <w:insideH w:val="nil"/>
          <w:insideV w:val="nil"/>
          <w:tl2br w:val="nil"/>
          <w:tr2bl w:val="nil"/>
        </w:tcBorders>
        <w:shd w:val="solid" w:color="7350D8" w:themeColor="accent1" w:themeTint="99" w:fill="6CAB64"/>
      </w:tcPr>
    </w:tblStylePr>
  </w:style>
  <w:style w:type="table" w:styleId="LightList-Accent2">
    <w:name w:val="Light List Accent 2"/>
    <w:basedOn w:val="TableNormal"/>
    <w:uiPriority w:val="61"/>
    <w:rsid w:val="005A6DE7"/>
    <w:tblPr>
      <w:tblStyleRowBandSize w:val="1"/>
      <w:tblStyleColBandSize w:val="1"/>
      <w:tblBorders>
        <w:top w:val="single" w:sz="8" w:space="0" w:color="C49C51" w:themeColor="accent2"/>
        <w:left w:val="single" w:sz="8" w:space="0" w:color="C49C51" w:themeColor="accent2"/>
        <w:bottom w:val="single" w:sz="8" w:space="0" w:color="C49C51" w:themeColor="accent2"/>
        <w:right w:val="single" w:sz="8" w:space="0" w:color="C49C51" w:themeColor="accent2"/>
      </w:tblBorders>
    </w:tblPr>
    <w:tblStylePr w:type="firstRow">
      <w:pPr>
        <w:spacing w:before="0" w:after="0" w:line="240" w:lineRule="auto"/>
      </w:pPr>
      <w:rPr>
        <w:b/>
        <w:bCs/>
        <w:color w:val="FFFFFF" w:themeColor="background1"/>
      </w:rPr>
      <w:tblPr/>
      <w:tcPr>
        <w:shd w:val="clear" w:color="auto" w:fill="C49C51" w:themeFill="accent2"/>
      </w:tcPr>
    </w:tblStylePr>
    <w:tblStylePr w:type="lastRow">
      <w:pPr>
        <w:spacing w:before="0" w:after="0" w:line="240" w:lineRule="auto"/>
      </w:pPr>
      <w:rPr>
        <w:b/>
        <w:bCs/>
      </w:rPr>
      <w:tblPr/>
      <w:tcPr>
        <w:tcBorders>
          <w:top w:val="double" w:sz="6" w:space="0" w:color="C49C51" w:themeColor="accent2"/>
          <w:left w:val="single" w:sz="8" w:space="0" w:color="C49C51" w:themeColor="accent2"/>
          <w:bottom w:val="single" w:sz="8" w:space="0" w:color="C49C51" w:themeColor="accent2"/>
          <w:right w:val="single" w:sz="8" w:space="0" w:color="C49C51" w:themeColor="accent2"/>
        </w:tcBorders>
      </w:tcPr>
    </w:tblStylePr>
    <w:tblStylePr w:type="firstCol">
      <w:rPr>
        <w:b/>
        <w:bCs/>
      </w:rPr>
    </w:tblStylePr>
    <w:tblStylePr w:type="lastCol">
      <w:rPr>
        <w:b/>
        <w:bCs/>
      </w:rPr>
    </w:tblStylePr>
    <w:tblStylePr w:type="band1Vert">
      <w:tblPr/>
      <w:tcPr>
        <w:tcBorders>
          <w:top w:val="single" w:sz="8" w:space="0" w:color="C49C51" w:themeColor="accent2"/>
          <w:left w:val="single" w:sz="8" w:space="0" w:color="C49C51" w:themeColor="accent2"/>
          <w:bottom w:val="single" w:sz="8" w:space="0" w:color="C49C51" w:themeColor="accent2"/>
          <w:right w:val="single" w:sz="8" w:space="0" w:color="C49C51" w:themeColor="accent2"/>
        </w:tcBorders>
      </w:tcPr>
    </w:tblStylePr>
    <w:tblStylePr w:type="band1Horz">
      <w:tblPr/>
      <w:tcPr>
        <w:tcBorders>
          <w:top w:val="single" w:sz="8" w:space="0" w:color="C49C51" w:themeColor="accent2"/>
          <w:left w:val="single" w:sz="8" w:space="0" w:color="C49C51" w:themeColor="accent2"/>
          <w:bottom w:val="single" w:sz="8" w:space="0" w:color="C49C51" w:themeColor="accent2"/>
          <w:right w:val="single" w:sz="8" w:space="0" w:color="C49C51" w:themeColor="accent2"/>
        </w:tcBorders>
      </w:tcPr>
    </w:tblStylePr>
  </w:style>
  <w:style w:type="table" w:styleId="LightList-Accent3">
    <w:name w:val="Light List Accent 3"/>
    <w:basedOn w:val="TableNormal"/>
    <w:uiPriority w:val="61"/>
    <w:rsid w:val="005A6DE7"/>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rsid w:val="005A6DE7"/>
    <w:tblPr>
      <w:tblStyleRowBandSize w:val="1"/>
      <w:tblStyleColBandSize w:val="1"/>
      <w:tblBorders>
        <w:top w:val="single" w:sz="8" w:space="0" w:color="C84F46" w:themeColor="accent4"/>
        <w:left w:val="single" w:sz="8" w:space="0" w:color="C84F46" w:themeColor="accent4"/>
        <w:bottom w:val="single" w:sz="8" w:space="0" w:color="C84F46" w:themeColor="accent4"/>
        <w:right w:val="single" w:sz="8" w:space="0" w:color="C84F46" w:themeColor="accent4"/>
      </w:tblBorders>
    </w:tblPr>
    <w:tblStylePr w:type="firstRow">
      <w:pPr>
        <w:spacing w:before="0" w:after="0" w:line="240" w:lineRule="auto"/>
      </w:pPr>
      <w:rPr>
        <w:b/>
        <w:bCs/>
        <w:color w:val="FFFFFF" w:themeColor="background1"/>
      </w:rPr>
      <w:tblPr/>
      <w:tcPr>
        <w:shd w:val="clear" w:color="auto" w:fill="C84F46" w:themeFill="accent4"/>
      </w:tcPr>
    </w:tblStylePr>
    <w:tblStylePr w:type="lastRow">
      <w:pPr>
        <w:spacing w:before="0" w:after="0" w:line="240" w:lineRule="auto"/>
      </w:pPr>
      <w:rPr>
        <w:b/>
        <w:bCs/>
      </w:rPr>
      <w:tblPr/>
      <w:tcPr>
        <w:tcBorders>
          <w:top w:val="double" w:sz="6" w:space="0" w:color="C84F46" w:themeColor="accent4"/>
          <w:left w:val="single" w:sz="8" w:space="0" w:color="C84F46" w:themeColor="accent4"/>
          <w:bottom w:val="single" w:sz="8" w:space="0" w:color="C84F46" w:themeColor="accent4"/>
          <w:right w:val="single" w:sz="8" w:space="0" w:color="C84F46" w:themeColor="accent4"/>
        </w:tcBorders>
      </w:tcPr>
    </w:tblStylePr>
    <w:tblStylePr w:type="firstCol">
      <w:rPr>
        <w:b/>
        <w:bCs/>
      </w:rPr>
    </w:tblStylePr>
    <w:tblStylePr w:type="lastCol">
      <w:rPr>
        <w:b/>
        <w:bCs/>
      </w:rPr>
    </w:tblStylePr>
    <w:tblStylePr w:type="band1Vert">
      <w:tblPr/>
      <w:tcPr>
        <w:tcBorders>
          <w:top w:val="single" w:sz="8" w:space="0" w:color="C84F46" w:themeColor="accent4"/>
          <w:left w:val="single" w:sz="8" w:space="0" w:color="C84F46" w:themeColor="accent4"/>
          <w:bottom w:val="single" w:sz="8" w:space="0" w:color="C84F46" w:themeColor="accent4"/>
          <w:right w:val="single" w:sz="8" w:space="0" w:color="C84F46" w:themeColor="accent4"/>
        </w:tcBorders>
      </w:tcPr>
    </w:tblStylePr>
    <w:tblStylePr w:type="band1Horz">
      <w:tblPr/>
      <w:tcPr>
        <w:tcBorders>
          <w:top w:val="single" w:sz="8" w:space="0" w:color="C84F46" w:themeColor="accent4"/>
          <w:left w:val="single" w:sz="8" w:space="0" w:color="C84F46" w:themeColor="accent4"/>
          <w:bottom w:val="single" w:sz="8" w:space="0" w:color="C84F46" w:themeColor="accent4"/>
          <w:right w:val="single" w:sz="8" w:space="0" w:color="C84F46" w:themeColor="accent4"/>
        </w:tcBorders>
      </w:tcPr>
    </w:tblStylePr>
  </w:style>
  <w:style w:type="table" w:styleId="LightList-Accent5">
    <w:name w:val="Light List Accent 5"/>
    <w:basedOn w:val="TableNormal"/>
    <w:uiPriority w:val="61"/>
    <w:rsid w:val="00B16C85"/>
    <w:tblPr>
      <w:tblStyleRowBandSize w:val="1"/>
      <w:tblStyleColBandSize w:val="1"/>
    </w:tblPr>
    <w:tblStylePr w:type="firstRow">
      <w:pPr>
        <w:spacing w:before="0" w:after="0" w:line="240" w:lineRule="auto"/>
      </w:pPr>
      <w:rPr>
        <w:b/>
        <w:bCs/>
        <w:color w:val="FFFFFF" w:themeColor="background1"/>
      </w:rPr>
      <w:tblPr/>
      <w:tcPr>
        <w:tcBorders>
          <w:top w:val="single" w:sz="4" w:space="0" w:color="287ABB" w:themeColor="accent5"/>
          <w:left w:val="nil"/>
          <w:bottom w:val="single" w:sz="4" w:space="0" w:color="287ABB" w:themeColor="accent5"/>
          <w:right w:val="nil"/>
          <w:insideH w:val="single" w:sz="4" w:space="0" w:color="287ABB" w:themeColor="accent5"/>
          <w:insideV w:val="nil"/>
          <w:tl2br w:val="nil"/>
          <w:tr2bl w:val="nil"/>
        </w:tcBorders>
        <w:shd w:val="clear" w:color="auto" w:fill="287ABB" w:themeFill="accent5"/>
      </w:tcPr>
    </w:tblStylePr>
    <w:tblStylePr w:type="lastRow">
      <w:pPr>
        <w:spacing w:before="0" w:after="0" w:line="240" w:lineRule="auto"/>
      </w:pPr>
      <w:rPr>
        <w:b/>
        <w:bCs/>
      </w:rPr>
      <w:tblPr/>
      <w:tcPr>
        <w:tcBorders>
          <w:top w:val="single" w:sz="4" w:space="0" w:color="287ABB" w:themeColor="accent5"/>
          <w:left w:val="nil"/>
          <w:bottom w:val="single" w:sz="4" w:space="0" w:color="287ABB" w:themeColor="accent5"/>
          <w:right w:val="nil"/>
          <w:insideH w:val="single" w:sz="4" w:space="0" w:color="287ABB" w:themeColor="accent5"/>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287ABB" w:themeColor="accent5"/>
          <w:left w:val="single" w:sz="8" w:space="0" w:color="287ABB" w:themeColor="accent5"/>
          <w:bottom w:val="nil"/>
          <w:right w:val="single" w:sz="8" w:space="0" w:color="287ABB" w:themeColor="accent5"/>
          <w:insideH w:val="single" w:sz="4" w:space="0" w:color="287ABB" w:themeColor="accent5"/>
        </w:tcBorders>
      </w:tcPr>
    </w:tblStylePr>
    <w:tblStylePr w:type="band2Horz">
      <w:tblPr/>
      <w:tcPr>
        <w:tcBorders>
          <w:top w:val="single" w:sz="4" w:space="0" w:color="287ABB" w:themeColor="accent5"/>
          <w:bottom w:val="single" w:sz="4" w:space="0" w:color="287ABB" w:themeColor="accent5"/>
          <w:insideH w:val="single" w:sz="4" w:space="0" w:color="287ABB" w:themeColor="accent5"/>
        </w:tcBorders>
      </w:tcPr>
    </w:tblStylePr>
  </w:style>
  <w:style w:type="table" w:styleId="LightList-Accent6">
    <w:name w:val="Light List Accent 6"/>
    <w:basedOn w:val="TableNormal"/>
    <w:uiPriority w:val="61"/>
    <w:rsid w:val="007B7A27"/>
    <w:tblPr>
      <w:tblStyleRowBandSize w:val="1"/>
      <w:tblStyleColBandSize w:val="1"/>
      <w:tblBorders>
        <w:top w:val="single" w:sz="8" w:space="0" w:color="8C8C8C" w:themeColor="accent6"/>
        <w:bottom w:val="single" w:sz="8" w:space="0" w:color="8C8C8C" w:themeColor="accent6"/>
        <w:insideH w:val="single" w:sz="8" w:space="0" w:color="8C8C8C" w:themeColor="accent6"/>
      </w:tblBorders>
    </w:tblPr>
    <w:tblStylePr w:type="firstRow">
      <w:pPr>
        <w:spacing w:before="0" w:after="0" w:line="240" w:lineRule="auto"/>
      </w:pPr>
      <w:rPr>
        <w:b/>
        <w:bCs/>
        <w:color w:val="FFFFFF" w:themeColor="background1"/>
      </w:rPr>
      <w:tblPr/>
      <w:tcPr>
        <w:tcBorders>
          <w:top w:val="single" w:sz="8" w:space="0" w:color="8C8C8C" w:themeColor="accent6"/>
          <w:left w:val="nil"/>
          <w:bottom w:val="single" w:sz="8" w:space="0" w:color="8C8C8C" w:themeColor="accent6"/>
          <w:right w:val="nil"/>
          <w:insideH w:val="single" w:sz="8" w:space="0" w:color="8C8C8C" w:themeColor="accent6"/>
          <w:insideV w:val="nil"/>
          <w:tl2br w:val="nil"/>
          <w:tr2bl w:val="nil"/>
        </w:tcBorders>
        <w:shd w:val="clear" w:color="auto" w:fill="8C8C8C" w:themeFill="accent6"/>
      </w:tcPr>
    </w:tblStylePr>
    <w:tblStylePr w:type="lastRow">
      <w:pPr>
        <w:spacing w:before="0" w:after="0" w:line="240" w:lineRule="auto"/>
      </w:pPr>
      <w:rPr>
        <w:b/>
        <w:bCs/>
      </w:rPr>
      <w:tblPr/>
      <w:tcPr>
        <w:tcBorders>
          <w:top w:val="single" w:sz="8" w:space="0" w:color="8C8C8C" w:themeColor="accent6"/>
          <w:left w:val="nil"/>
          <w:bottom w:val="single" w:sz="8" w:space="0" w:color="8C8C8C" w:themeColor="accent6"/>
          <w:right w:val="nil"/>
          <w:insideH w:val="single" w:sz="8" w:space="0" w:color="8C8C8C" w:themeColor="accent6"/>
          <w:insideV w:val="nil"/>
          <w:tl2br w:val="nil"/>
          <w:tr2bl w:val="nil"/>
        </w:tcBorders>
      </w:tcPr>
    </w:tblStylePr>
    <w:tblStylePr w:type="firstCol">
      <w:rPr>
        <w:b/>
        <w:bCs/>
      </w:rPr>
      <w:tblPr/>
      <w:tcPr>
        <w:tcBorders>
          <w:top w:val="single" w:sz="8" w:space="0" w:color="8C8C8C" w:themeColor="accent6"/>
          <w:left w:val="nil"/>
          <w:bottom w:val="single" w:sz="8" w:space="0" w:color="8C8C8C" w:themeColor="accent6"/>
          <w:right w:val="nil"/>
          <w:insideH w:val="single" w:sz="8" w:space="0" w:color="8C8C8C" w:themeColor="accent6"/>
          <w:insideV w:val="nil"/>
          <w:tl2br w:val="nil"/>
          <w:tr2bl w:val="nil"/>
        </w:tcBorders>
      </w:tcPr>
    </w:tblStylePr>
    <w:tblStylePr w:type="lastCol">
      <w:rPr>
        <w:b/>
        <w:bCs/>
      </w:rPr>
    </w:tblStylePr>
    <w:tblStylePr w:type="band1Vert">
      <w:tblPr/>
      <w:tcPr>
        <w:tcBorders>
          <w:top w:val="single" w:sz="8" w:space="0" w:color="8C8C8C" w:themeColor="accent6"/>
          <w:left w:val="nil"/>
          <w:bottom w:val="single" w:sz="8" w:space="0" w:color="8C8C8C" w:themeColor="accent6"/>
          <w:right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8" w:space="0" w:color="8C8C8C" w:themeColor="accent6"/>
          <w:left w:val="nil"/>
          <w:bottom w:val="single" w:sz="8" w:space="0" w:color="8C8C8C" w:themeColor="accent6"/>
          <w:right w:val="nil"/>
          <w:insideH w:val="single" w:sz="8" w:space="0" w:color="8C8C8C" w:themeColor="accent6"/>
          <w:insideV w:val="nil"/>
          <w:tl2br w:val="nil"/>
          <w:tr2bl w:val="nil"/>
        </w:tcBorders>
      </w:tcPr>
    </w:tblStylePr>
    <w:tblStylePr w:type="band2Horz">
      <w:tblPr/>
      <w:tcPr>
        <w:tcBorders>
          <w:top w:val="single" w:sz="8" w:space="0" w:color="8C8C8C" w:themeColor="accent6"/>
          <w:left w:val="nil"/>
          <w:bottom w:val="nil"/>
          <w:right w:val="nil"/>
          <w:insideH w:val="single" w:sz="8" w:space="0" w:color="8C8C8C" w:themeColor="accent6"/>
          <w:insideV w:val="nil"/>
          <w:tl2br w:val="nil"/>
          <w:tr2bl w:val="nil"/>
        </w:tcBorders>
      </w:tcPr>
    </w:tblStylePr>
  </w:style>
  <w:style w:type="table" w:styleId="LightGrid">
    <w:name w:val="Light Grid"/>
    <w:basedOn w:val="TableNormal"/>
    <w:uiPriority w:val="62"/>
    <w:rsid w:val="005A6DE7"/>
    <w:tblPr>
      <w:tblStyleRowBandSize w:val="1"/>
      <w:tblStyleColBandSize w:val="1"/>
      <w:tblBorders>
        <w:top w:val="single" w:sz="8" w:space="0" w:color="3F3F3F" w:themeColor="text1"/>
        <w:left w:val="single" w:sz="8" w:space="0" w:color="3F3F3F" w:themeColor="text1"/>
        <w:bottom w:val="single" w:sz="8" w:space="0" w:color="3F3F3F" w:themeColor="text1"/>
        <w:right w:val="single" w:sz="8" w:space="0" w:color="3F3F3F" w:themeColor="text1"/>
        <w:insideH w:val="single" w:sz="8" w:space="0" w:color="3F3F3F" w:themeColor="text1"/>
        <w:insideV w:val="single" w:sz="8" w:space="0" w:color="3F3F3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3F3F" w:themeColor="text1"/>
          <w:left w:val="single" w:sz="8" w:space="0" w:color="3F3F3F" w:themeColor="text1"/>
          <w:bottom w:val="single" w:sz="18" w:space="0" w:color="3F3F3F" w:themeColor="text1"/>
          <w:right w:val="single" w:sz="8" w:space="0" w:color="3F3F3F" w:themeColor="text1"/>
          <w:insideH w:val="nil"/>
          <w:insideV w:val="single" w:sz="8" w:space="0" w:color="3F3F3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3F3F" w:themeColor="text1"/>
          <w:left w:val="single" w:sz="8" w:space="0" w:color="3F3F3F" w:themeColor="text1"/>
          <w:bottom w:val="single" w:sz="8" w:space="0" w:color="3F3F3F" w:themeColor="text1"/>
          <w:right w:val="single" w:sz="8" w:space="0" w:color="3F3F3F" w:themeColor="text1"/>
          <w:insideH w:val="nil"/>
          <w:insideV w:val="single" w:sz="8" w:space="0" w:color="3F3F3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tblStylePr w:type="band1Vert">
      <w:tblPr/>
      <w:tcPr>
        <w:tcBorders>
          <w:top w:val="single" w:sz="8" w:space="0" w:color="3F3F3F" w:themeColor="text1"/>
          <w:left w:val="single" w:sz="8" w:space="0" w:color="3F3F3F" w:themeColor="text1"/>
          <w:bottom w:val="single" w:sz="8" w:space="0" w:color="3F3F3F" w:themeColor="text1"/>
          <w:right w:val="single" w:sz="8" w:space="0" w:color="3F3F3F" w:themeColor="text1"/>
        </w:tcBorders>
        <w:shd w:val="clear" w:color="auto" w:fill="CFCFCF" w:themeFill="text1" w:themeFillTint="3F"/>
      </w:tcPr>
    </w:tblStylePr>
    <w:tblStylePr w:type="band1Horz">
      <w:tblPr/>
      <w:tcPr>
        <w:tcBorders>
          <w:top w:val="single" w:sz="8" w:space="0" w:color="3F3F3F" w:themeColor="text1"/>
          <w:left w:val="single" w:sz="8" w:space="0" w:color="3F3F3F" w:themeColor="text1"/>
          <w:bottom w:val="single" w:sz="8" w:space="0" w:color="3F3F3F" w:themeColor="text1"/>
          <w:right w:val="single" w:sz="8" w:space="0" w:color="3F3F3F" w:themeColor="text1"/>
          <w:insideV w:val="single" w:sz="8" w:space="0" w:color="3F3F3F" w:themeColor="text1"/>
        </w:tcBorders>
        <w:shd w:val="clear" w:color="auto" w:fill="CFCFCF" w:themeFill="text1" w:themeFillTint="3F"/>
      </w:tcPr>
    </w:tblStylePr>
    <w:tblStylePr w:type="band2Horz">
      <w:tblPr/>
      <w:tcPr>
        <w:tcBorders>
          <w:top w:val="single" w:sz="8" w:space="0" w:color="3F3F3F" w:themeColor="text1"/>
          <w:left w:val="single" w:sz="8" w:space="0" w:color="3F3F3F" w:themeColor="text1"/>
          <w:bottom w:val="single" w:sz="8" w:space="0" w:color="3F3F3F" w:themeColor="text1"/>
          <w:right w:val="single" w:sz="8" w:space="0" w:color="3F3F3F" w:themeColor="text1"/>
          <w:insideV w:val="single" w:sz="8" w:space="0" w:color="3F3F3F" w:themeColor="text1"/>
        </w:tcBorders>
      </w:tcPr>
    </w:tblStylePr>
  </w:style>
  <w:style w:type="table" w:styleId="LightGrid-Accent1">
    <w:name w:val="Light Grid Accent 1"/>
    <w:basedOn w:val="TableNormal"/>
    <w:uiPriority w:val="62"/>
    <w:rsid w:val="005A6DE7"/>
    <w:tblPr>
      <w:tblStyleRowBandSize w:val="1"/>
      <w:tblStyleColBandSize w:val="1"/>
      <w:tblBorders>
        <w:top w:val="single" w:sz="8" w:space="0" w:color="361C7F" w:themeColor="accent1"/>
        <w:left w:val="single" w:sz="8" w:space="0" w:color="361C7F" w:themeColor="accent1"/>
        <w:bottom w:val="single" w:sz="8" w:space="0" w:color="361C7F" w:themeColor="accent1"/>
        <w:right w:val="single" w:sz="8" w:space="0" w:color="361C7F" w:themeColor="accent1"/>
        <w:insideH w:val="single" w:sz="8" w:space="0" w:color="361C7F" w:themeColor="accent1"/>
        <w:insideV w:val="single" w:sz="8" w:space="0" w:color="361C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1C7F" w:themeColor="accent1"/>
          <w:left w:val="single" w:sz="8" w:space="0" w:color="361C7F" w:themeColor="accent1"/>
          <w:bottom w:val="single" w:sz="18" w:space="0" w:color="361C7F" w:themeColor="accent1"/>
          <w:right w:val="single" w:sz="8" w:space="0" w:color="361C7F" w:themeColor="accent1"/>
          <w:insideH w:val="nil"/>
          <w:insideV w:val="single" w:sz="8" w:space="0" w:color="361C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1C7F" w:themeColor="accent1"/>
          <w:left w:val="single" w:sz="8" w:space="0" w:color="361C7F" w:themeColor="accent1"/>
          <w:bottom w:val="single" w:sz="8" w:space="0" w:color="361C7F" w:themeColor="accent1"/>
          <w:right w:val="single" w:sz="8" w:space="0" w:color="361C7F" w:themeColor="accent1"/>
          <w:insideH w:val="nil"/>
          <w:insideV w:val="single" w:sz="8" w:space="0" w:color="361C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1C7F" w:themeColor="accent1"/>
          <w:left w:val="single" w:sz="8" w:space="0" w:color="361C7F" w:themeColor="accent1"/>
          <w:bottom w:val="single" w:sz="8" w:space="0" w:color="361C7F" w:themeColor="accent1"/>
          <w:right w:val="single" w:sz="8" w:space="0" w:color="361C7F" w:themeColor="accent1"/>
        </w:tcBorders>
      </w:tcPr>
    </w:tblStylePr>
    <w:tblStylePr w:type="band1Vert">
      <w:tblPr/>
      <w:tcPr>
        <w:tcBorders>
          <w:top w:val="single" w:sz="8" w:space="0" w:color="361C7F" w:themeColor="accent1"/>
          <w:left w:val="single" w:sz="8" w:space="0" w:color="361C7F" w:themeColor="accent1"/>
          <w:bottom w:val="single" w:sz="8" w:space="0" w:color="361C7F" w:themeColor="accent1"/>
          <w:right w:val="single" w:sz="8" w:space="0" w:color="361C7F" w:themeColor="accent1"/>
        </w:tcBorders>
        <w:shd w:val="clear" w:color="auto" w:fill="C5B6EF" w:themeFill="accent1" w:themeFillTint="3F"/>
      </w:tcPr>
    </w:tblStylePr>
    <w:tblStylePr w:type="band1Horz">
      <w:tblPr/>
      <w:tcPr>
        <w:tcBorders>
          <w:top w:val="single" w:sz="8" w:space="0" w:color="361C7F" w:themeColor="accent1"/>
          <w:left w:val="single" w:sz="8" w:space="0" w:color="361C7F" w:themeColor="accent1"/>
          <w:bottom w:val="single" w:sz="8" w:space="0" w:color="361C7F" w:themeColor="accent1"/>
          <w:right w:val="single" w:sz="8" w:space="0" w:color="361C7F" w:themeColor="accent1"/>
          <w:insideV w:val="single" w:sz="8" w:space="0" w:color="361C7F" w:themeColor="accent1"/>
        </w:tcBorders>
        <w:shd w:val="clear" w:color="auto" w:fill="C5B6EF" w:themeFill="accent1" w:themeFillTint="3F"/>
      </w:tcPr>
    </w:tblStylePr>
    <w:tblStylePr w:type="band2Horz">
      <w:tblPr/>
      <w:tcPr>
        <w:tcBorders>
          <w:top w:val="single" w:sz="8" w:space="0" w:color="361C7F" w:themeColor="accent1"/>
          <w:left w:val="single" w:sz="8" w:space="0" w:color="361C7F" w:themeColor="accent1"/>
          <w:bottom w:val="single" w:sz="8" w:space="0" w:color="361C7F" w:themeColor="accent1"/>
          <w:right w:val="single" w:sz="8" w:space="0" w:color="361C7F" w:themeColor="accent1"/>
          <w:insideV w:val="single" w:sz="8" w:space="0" w:color="361C7F" w:themeColor="accent1"/>
        </w:tcBorders>
      </w:tcPr>
    </w:tblStylePr>
  </w:style>
  <w:style w:type="table" w:styleId="LightGrid-Accent2">
    <w:name w:val="Light Grid Accent 2"/>
    <w:basedOn w:val="TableNormal"/>
    <w:uiPriority w:val="62"/>
    <w:rsid w:val="001431B4"/>
    <w:tblPr>
      <w:tblStyleRowBandSize w:val="1"/>
      <w:tblStyleColBandSize w:val="1"/>
      <w:tblBorders>
        <w:top w:val="single" w:sz="8" w:space="0" w:color="C49C51" w:themeColor="accent2"/>
        <w:left w:val="single" w:sz="8" w:space="0" w:color="C49C51" w:themeColor="accent2"/>
        <w:bottom w:val="single" w:sz="8" w:space="0" w:color="C49C51" w:themeColor="accent2"/>
        <w:right w:val="single" w:sz="8" w:space="0" w:color="C49C51" w:themeColor="accent2"/>
        <w:insideH w:val="single" w:sz="8" w:space="0" w:color="C49C51" w:themeColor="accent2"/>
        <w:insideV w:val="single" w:sz="8" w:space="0" w:color="C49C5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49C51" w:themeColor="accent2"/>
          <w:left w:val="single" w:sz="8" w:space="0" w:color="C49C51" w:themeColor="accent2"/>
          <w:bottom w:val="single" w:sz="18" w:space="0" w:color="C49C51" w:themeColor="accent2"/>
          <w:right w:val="single" w:sz="8" w:space="0" w:color="C49C51" w:themeColor="accent2"/>
          <w:insideH w:val="nil"/>
          <w:insideV w:val="single" w:sz="8" w:space="0" w:color="C49C5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9C51" w:themeColor="accent2"/>
          <w:left w:val="single" w:sz="8" w:space="0" w:color="C49C51" w:themeColor="accent2"/>
          <w:bottom w:val="single" w:sz="8" w:space="0" w:color="C49C51" w:themeColor="accent2"/>
          <w:right w:val="single" w:sz="8" w:space="0" w:color="C49C51" w:themeColor="accent2"/>
          <w:insideH w:val="nil"/>
          <w:insideV w:val="single" w:sz="8" w:space="0" w:color="C49C5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9C51" w:themeColor="accent2"/>
          <w:left w:val="single" w:sz="8" w:space="0" w:color="C49C51" w:themeColor="accent2"/>
          <w:bottom w:val="single" w:sz="8" w:space="0" w:color="C49C51" w:themeColor="accent2"/>
          <w:right w:val="single" w:sz="8" w:space="0" w:color="C49C51" w:themeColor="accent2"/>
        </w:tcBorders>
      </w:tcPr>
    </w:tblStylePr>
    <w:tblStylePr w:type="band1Vert">
      <w:tblPr/>
      <w:tcPr>
        <w:tcBorders>
          <w:top w:val="single" w:sz="8" w:space="0" w:color="C49C51" w:themeColor="accent2"/>
          <w:left w:val="single" w:sz="8" w:space="0" w:color="C49C51" w:themeColor="accent2"/>
          <w:bottom w:val="single" w:sz="8" w:space="0" w:color="C49C51" w:themeColor="accent2"/>
          <w:right w:val="single" w:sz="8" w:space="0" w:color="C49C51" w:themeColor="accent2"/>
        </w:tcBorders>
        <w:shd w:val="clear" w:color="auto" w:fill="F0E6D3" w:themeFill="accent2" w:themeFillTint="3F"/>
      </w:tcPr>
    </w:tblStylePr>
    <w:tblStylePr w:type="band1Horz">
      <w:tblPr/>
      <w:tcPr>
        <w:tcBorders>
          <w:top w:val="single" w:sz="8" w:space="0" w:color="C49C51" w:themeColor="accent2"/>
          <w:left w:val="single" w:sz="8" w:space="0" w:color="C49C51" w:themeColor="accent2"/>
          <w:bottom w:val="single" w:sz="8" w:space="0" w:color="C49C51" w:themeColor="accent2"/>
          <w:right w:val="single" w:sz="8" w:space="0" w:color="C49C51" w:themeColor="accent2"/>
          <w:insideV w:val="single" w:sz="8" w:space="0" w:color="C49C51" w:themeColor="accent2"/>
        </w:tcBorders>
        <w:shd w:val="clear" w:color="auto" w:fill="F0E6D3" w:themeFill="accent2" w:themeFillTint="3F"/>
      </w:tcPr>
    </w:tblStylePr>
    <w:tblStylePr w:type="band2Horz">
      <w:tblPr/>
      <w:tcPr>
        <w:tcBorders>
          <w:top w:val="single" w:sz="8" w:space="0" w:color="C49C51" w:themeColor="accent2"/>
          <w:left w:val="single" w:sz="8" w:space="0" w:color="C49C51" w:themeColor="accent2"/>
          <w:bottom w:val="single" w:sz="8" w:space="0" w:color="C49C51" w:themeColor="accent2"/>
          <w:right w:val="single" w:sz="8" w:space="0" w:color="C49C51" w:themeColor="accent2"/>
          <w:insideV w:val="single" w:sz="8" w:space="0" w:color="C49C51" w:themeColor="accent2"/>
        </w:tcBorders>
      </w:tcPr>
    </w:tblStylePr>
  </w:style>
  <w:style w:type="table" w:styleId="LightShading-Accent6">
    <w:name w:val="Light Shading Accent 6"/>
    <w:basedOn w:val="TableNormal"/>
    <w:uiPriority w:val="60"/>
    <w:rsid w:val="001431B4"/>
    <w:rPr>
      <w:color w:val="686868" w:themeColor="accent6" w:themeShade="BF"/>
    </w:rPr>
    <w:tblPr>
      <w:tblStyleRowBandSize w:val="1"/>
      <w:tblStyleColBandSize w:val="1"/>
      <w:tblBorders>
        <w:top w:val="single" w:sz="8" w:space="0" w:color="8C8C8C" w:themeColor="accent6"/>
        <w:bottom w:val="single" w:sz="8" w:space="0" w:color="8C8C8C" w:themeColor="accent6"/>
      </w:tblBorders>
    </w:tblPr>
    <w:tblStylePr w:type="firstRow">
      <w:pPr>
        <w:spacing w:before="0" w:after="0" w:line="240" w:lineRule="auto"/>
      </w:pPr>
      <w:rPr>
        <w:b/>
        <w:bCs/>
      </w:rPr>
      <w:tblPr/>
      <w:tcPr>
        <w:tcBorders>
          <w:top w:val="single" w:sz="8" w:space="0" w:color="8C8C8C" w:themeColor="accent6"/>
          <w:left w:val="nil"/>
          <w:bottom w:val="single" w:sz="8" w:space="0" w:color="8C8C8C" w:themeColor="accent6"/>
          <w:right w:val="nil"/>
          <w:insideH w:val="nil"/>
          <w:insideV w:val="nil"/>
        </w:tcBorders>
      </w:tcPr>
    </w:tblStylePr>
    <w:tblStylePr w:type="lastRow">
      <w:pPr>
        <w:spacing w:before="0" w:after="0" w:line="240" w:lineRule="auto"/>
      </w:pPr>
      <w:rPr>
        <w:b/>
        <w:bCs/>
      </w:rPr>
      <w:tblPr/>
      <w:tcPr>
        <w:tcBorders>
          <w:top w:val="single" w:sz="8" w:space="0" w:color="8C8C8C" w:themeColor="accent6"/>
          <w:left w:val="nil"/>
          <w:bottom w:val="single" w:sz="8" w:space="0" w:color="8C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2E2" w:themeFill="accent6" w:themeFillTint="3F"/>
      </w:tcPr>
    </w:tblStylePr>
    <w:tblStylePr w:type="band1Horz">
      <w:tblPr/>
      <w:tcPr>
        <w:tcBorders>
          <w:left w:val="nil"/>
          <w:right w:val="nil"/>
          <w:insideH w:val="nil"/>
          <w:insideV w:val="nil"/>
        </w:tcBorders>
        <w:shd w:val="clear" w:color="auto" w:fill="E2E2E2" w:themeFill="accent6" w:themeFillTint="3F"/>
      </w:tcPr>
    </w:tblStylePr>
  </w:style>
  <w:style w:type="paragraph" w:customStyle="1" w:styleId="TABLEHEADING0">
    <w:name w:val="TABLE HEADING"/>
    <w:basedOn w:val="Normal"/>
    <w:qFormat/>
    <w:rsid w:val="001474E0"/>
    <w:pPr>
      <w:spacing w:before="120" w:after="120"/>
    </w:pPr>
    <w:rPr>
      <w:rFonts w:asciiTheme="majorHAnsi" w:eastAsiaTheme="majorEastAsia" w:hAnsiTheme="majorHAnsi" w:cstheme="majorBidi"/>
      <w:b/>
      <w:bCs/>
      <w:color w:val="361C7F" w:themeColor="text2"/>
      <w:sz w:val="24"/>
    </w:rPr>
  </w:style>
  <w:style w:type="table" w:styleId="ColorfulGrid-Accent2">
    <w:name w:val="Colorful Grid Accent 2"/>
    <w:basedOn w:val="TableNormal"/>
    <w:uiPriority w:val="73"/>
    <w:rsid w:val="00633C07"/>
    <w:rPr>
      <w:color w:val="3F3F3F" w:themeColor="text1"/>
    </w:rPr>
    <w:tblPr>
      <w:tblStyleRowBandSize w:val="1"/>
      <w:tblStyleColBandSize w:val="1"/>
      <w:tblBorders>
        <w:insideH w:val="single" w:sz="4" w:space="0" w:color="FFFFFF" w:themeColor="background1"/>
      </w:tblBorders>
    </w:tblPr>
    <w:tcPr>
      <w:shd w:val="clear" w:color="auto" w:fill="F3EBDC" w:themeFill="accent2" w:themeFillTint="33"/>
    </w:tcPr>
    <w:tblStylePr w:type="firstRow">
      <w:rPr>
        <w:b/>
        <w:bCs/>
      </w:rPr>
      <w:tblPr/>
      <w:tcPr>
        <w:shd w:val="clear" w:color="auto" w:fill="E7D7B9" w:themeFill="accent2" w:themeFillTint="66"/>
      </w:tcPr>
    </w:tblStylePr>
    <w:tblStylePr w:type="lastRow">
      <w:rPr>
        <w:b/>
        <w:bCs/>
        <w:color w:val="3F3F3F" w:themeColor="text1"/>
      </w:rPr>
      <w:tblPr/>
      <w:tcPr>
        <w:shd w:val="clear" w:color="auto" w:fill="E7D7B9" w:themeFill="accent2" w:themeFillTint="66"/>
      </w:tcPr>
    </w:tblStylePr>
    <w:tblStylePr w:type="firstCol">
      <w:rPr>
        <w:color w:val="FFFFFF" w:themeColor="background1"/>
      </w:rPr>
      <w:tblPr/>
      <w:tcPr>
        <w:shd w:val="clear" w:color="auto" w:fill="9A7734" w:themeFill="accent2" w:themeFillShade="BF"/>
      </w:tcPr>
    </w:tblStylePr>
    <w:tblStylePr w:type="lastCol">
      <w:rPr>
        <w:color w:val="FFFFFF" w:themeColor="background1"/>
      </w:rPr>
      <w:tblPr/>
      <w:tcPr>
        <w:shd w:val="clear" w:color="auto" w:fill="9A7734" w:themeFill="accent2" w:themeFillShade="BF"/>
      </w:tcPr>
    </w:tblStylePr>
    <w:tblStylePr w:type="band1Vert">
      <w:tblPr/>
      <w:tcPr>
        <w:shd w:val="clear" w:color="auto" w:fill="E1CDA8" w:themeFill="accent2" w:themeFillTint="7F"/>
      </w:tcPr>
    </w:tblStylePr>
    <w:tblStylePr w:type="band1Horz">
      <w:tblPr/>
      <w:tcPr>
        <w:shd w:val="clear" w:color="auto" w:fill="E1CDA8" w:themeFill="accent2" w:themeFillTint="7F"/>
      </w:tcPr>
    </w:tblStylePr>
  </w:style>
  <w:style w:type="table" w:styleId="ColorfulGrid-Accent1">
    <w:name w:val="Colorful Grid Accent 1"/>
    <w:basedOn w:val="TableNormal"/>
    <w:uiPriority w:val="73"/>
    <w:rsid w:val="00633C07"/>
    <w:rPr>
      <w:color w:val="3F3F3F" w:themeColor="text1"/>
    </w:rPr>
    <w:tblPr>
      <w:tblStyleRowBandSize w:val="1"/>
      <w:tblStyleColBandSize w:val="1"/>
      <w:tblBorders>
        <w:insideH w:val="single" w:sz="4" w:space="0" w:color="FFFFFF" w:themeColor="background1"/>
      </w:tblBorders>
    </w:tblPr>
    <w:tcPr>
      <w:shd w:val="clear" w:color="auto" w:fill="D0C4F2" w:themeFill="accent1" w:themeFillTint="33"/>
    </w:tcPr>
    <w:tblStylePr w:type="firstRow">
      <w:rPr>
        <w:b/>
        <w:bCs/>
      </w:rPr>
      <w:tblPr/>
      <w:tcPr>
        <w:shd w:val="clear" w:color="auto" w:fill="A28AE5" w:themeFill="accent1" w:themeFillTint="66"/>
      </w:tcPr>
    </w:tblStylePr>
    <w:tblStylePr w:type="lastRow">
      <w:rPr>
        <w:b/>
        <w:bCs/>
        <w:color w:val="3F3F3F" w:themeColor="text1"/>
      </w:rPr>
      <w:tblPr/>
      <w:tcPr>
        <w:shd w:val="clear" w:color="auto" w:fill="A28AE5" w:themeFill="accent1" w:themeFillTint="66"/>
      </w:tcPr>
    </w:tblStylePr>
    <w:tblStylePr w:type="firstCol">
      <w:rPr>
        <w:color w:val="FFFFFF" w:themeColor="background1"/>
      </w:rPr>
      <w:tblPr/>
      <w:tcPr>
        <w:shd w:val="clear" w:color="auto" w:fill="28155F" w:themeFill="accent1" w:themeFillShade="BF"/>
      </w:tcPr>
    </w:tblStylePr>
    <w:tblStylePr w:type="lastCol">
      <w:rPr>
        <w:color w:val="FFFFFF" w:themeColor="background1"/>
      </w:rPr>
      <w:tblPr/>
      <w:tcPr>
        <w:shd w:val="clear" w:color="auto" w:fill="28155F" w:themeFill="accent1" w:themeFillShade="BF"/>
      </w:tcPr>
    </w:tblStylePr>
    <w:tblStylePr w:type="band1Vert">
      <w:tblPr/>
      <w:tcPr>
        <w:shd w:val="clear" w:color="auto" w:fill="8B6DDF" w:themeFill="accent1" w:themeFillTint="7F"/>
      </w:tcPr>
    </w:tblStylePr>
    <w:tblStylePr w:type="band1Horz">
      <w:tblPr/>
      <w:tcPr>
        <w:shd w:val="clear" w:color="auto" w:fill="8B6DDF" w:themeFill="accent1" w:themeFillTint="7F"/>
      </w:tcPr>
    </w:tblStylePr>
  </w:style>
  <w:style w:type="table" w:styleId="ColorfulGrid">
    <w:name w:val="Colorful Grid"/>
    <w:basedOn w:val="TableNormal"/>
    <w:uiPriority w:val="73"/>
    <w:rsid w:val="00633C07"/>
    <w:rPr>
      <w:color w:val="3F3F3F"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3F3F3F"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6">
    <w:name w:val="Colorful Grid Accent 6"/>
    <w:basedOn w:val="TableNormal"/>
    <w:uiPriority w:val="73"/>
    <w:rsid w:val="00633C07"/>
    <w:rPr>
      <w:color w:val="3F3F3F" w:themeColor="text1"/>
    </w:rPr>
    <w:tblPr>
      <w:tblStyleRowBandSize w:val="1"/>
      <w:tblStyleColBandSize w:val="1"/>
      <w:tblBorders>
        <w:insideH w:val="single" w:sz="4" w:space="0" w:color="FFFFFF" w:themeColor="background1"/>
      </w:tblBorders>
    </w:tblPr>
    <w:tcPr>
      <w:shd w:val="clear" w:color="auto" w:fill="E8E8E8" w:themeFill="accent6" w:themeFillTint="33"/>
    </w:tcPr>
    <w:tblStylePr w:type="firstRow">
      <w:rPr>
        <w:b/>
        <w:bCs/>
      </w:rPr>
      <w:tblPr/>
      <w:tcPr>
        <w:shd w:val="clear" w:color="auto" w:fill="D1D1D1" w:themeFill="accent6" w:themeFillTint="66"/>
      </w:tcPr>
    </w:tblStylePr>
    <w:tblStylePr w:type="lastRow">
      <w:rPr>
        <w:b/>
        <w:bCs/>
        <w:color w:val="3F3F3F" w:themeColor="text1"/>
      </w:rPr>
      <w:tblPr/>
      <w:tcPr>
        <w:shd w:val="clear" w:color="auto" w:fill="D1D1D1" w:themeFill="accent6" w:themeFillTint="66"/>
      </w:tcPr>
    </w:tblStylePr>
    <w:tblStylePr w:type="firstCol">
      <w:rPr>
        <w:color w:val="FFFFFF" w:themeColor="background1"/>
      </w:rPr>
      <w:tblPr/>
      <w:tcPr>
        <w:shd w:val="clear" w:color="auto" w:fill="686868" w:themeFill="accent6" w:themeFillShade="BF"/>
      </w:tcPr>
    </w:tblStylePr>
    <w:tblStylePr w:type="lastCol">
      <w:rPr>
        <w:color w:val="FFFFFF" w:themeColor="background1"/>
      </w:rPr>
      <w:tblPr/>
      <w:tcPr>
        <w:shd w:val="clear" w:color="auto" w:fill="686868" w:themeFill="accent6" w:themeFillShade="BF"/>
      </w:tcPr>
    </w:tblStylePr>
    <w:tblStylePr w:type="band1Vert">
      <w:tblPr/>
      <w:tcPr>
        <w:shd w:val="clear" w:color="auto" w:fill="C5C5C5" w:themeFill="accent6" w:themeFillTint="7F"/>
      </w:tcPr>
    </w:tblStylePr>
    <w:tblStylePr w:type="band1Horz">
      <w:tblPr/>
      <w:tcPr>
        <w:shd w:val="clear" w:color="auto" w:fill="C5C5C5" w:themeFill="accent6" w:themeFillTint="7F"/>
      </w:tcPr>
    </w:tblStylePr>
  </w:style>
  <w:style w:type="table" w:styleId="ColorfulGrid-Accent5">
    <w:name w:val="Colorful Grid Accent 5"/>
    <w:basedOn w:val="TableNormal"/>
    <w:uiPriority w:val="73"/>
    <w:rsid w:val="00633C07"/>
    <w:rPr>
      <w:color w:val="3F3F3F" w:themeColor="text1"/>
    </w:rPr>
    <w:tblPr>
      <w:tblStyleRowBandSize w:val="1"/>
      <w:tblStyleColBandSize w:val="1"/>
      <w:tblBorders>
        <w:insideH w:val="single" w:sz="4" w:space="0" w:color="FFFFFF" w:themeColor="background1"/>
      </w:tblBorders>
    </w:tblPr>
    <w:tcPr>
      <w:shd w:val="clear" w:color="auto" w:fill="D0E4F5" w:themeFill="accent5" w:themeFillTint="33"/>
    </w:tcPr>
    <w:tblStylePr w:type="firstRow">
      <w:rPr>
        <w:b/>
        <w:bCs/>
      </w:rPr>
      <w:tblPr/>
      <w:tcPr>
        <w:shd w:val="clear" w:color="auto" w:fill="A1CAEB" w:themeFill="accent5" w:themeFillTint="66"/>
      </w:tcPr>
    </w:tblStylePr>
    <w:tblStylePr w:type="lastRow">
      <w:rPr>
        <w:b/>
        <w:bCs/>
        <w:color w:val="3F3F3F" w:themeColor="text1"/>
      </w:rPr>
      <w:tblPr/>
      <w:tcPr>
        <w:shd w:val="clear" w:color="auto" w:fill="A1CAEB" w:themeFill="accent5" w:themeFillTint="66"/>
      </w:tcPr>
    </w:tblStylePr>
    <w:tblStylePr w:type="firstCol">
      <w:rPr>
        <w:color w:val="FFFFFF" w:themeColor="background1"/>
      </w:rPr>
      <w:tblPr/>
      <w:tcPr>
        <w:shd w:val="clear" w:color="auto" w:fill="1E5B8C" w:themeFill="accent5" w:themeFillShade="BF"/>
      </w:tcPr>
    </w:tblStylePr>
    <w:tblStylePr w:type="lastCol">
      <w:rPr>
        <w:color w:val="FFFFFF" w:themeColor="background1"/>
      </w:rPr>
      <w:tblPr/>
      <w:tcPr>
        <w:shd w:val="clear" w:color="auto" w:fill="1E5B8C" w:themeFill="accent5" w:themeFillShade="BF"/>
      </w:tcPr>
    </w:tblStylePr>
    <w:tblStylePr w:type="band1Vert">
      <w:tblPr/>
      <w:tcPr>
        <w:shd w:val="clear" w:color="auto" w:fill="8ABDE6" w:themeFill="accent5" w:themeFillTint="7F"/>
      </w:tcPr>
    </w:tblStylePr>
    <w:tblStylePr w:type="band1Horz">
      <w:tblPr/>
      <w:tcPr>
        <w:shd w:val="clear" w:color="auto" w:fill="8ABDE6" w:themeFill="accent5" w:themeFillTint="7F"/>
      </w:tcPr>
    </w:tblStylePr>
  </w:style>
  <w:style w:type="table" w:styleId="ColorfulGrid-Accent4">
    <w:name w:val="Colorful Grid Accent 4"/>
    <w:basedOn w:val="TableNormal"/>
    <w:uiPriority w:val="73"/>
    <w:rsid w:val="00633C07"/>
    <w:rPr>
      <w:color w:val="3F3F3F" w:themeColor="text1"/>
    </w:rPr>
    <w:tblPr>
      <w:tblStyleRowBandSize w:val="1"/>
      <w:tblStyleColBandSize w:val="1"/>
      <w:tblBorders>
        <w:insideH w:val="single" w:sz="4" w:space="0" w:color="FFFFFF" w:themeColor="background1"/>
      </w:tblBorders>
    </w:tblPr>
    <w:tcPr>
      <w:shd w:val="clear" w:color="auto" w:fill="F4DBDA" w:themeFill="accent4" w:themeFillTint="33"/>
    </w:tcPr>
    <w:tblStylePr w:type="firstRow">
      <w:rPr>
        <w:b/>
        <w:bCs/>
      </w:rPr>
      <w:tblPr/>
      <w:tcPr>
        <w:shd w:val="clear" w:color="auto" w:fill="E9B8B5" w:themeFill="accent4" w:themeFillTint="66"/>
      </w:tcPr>
    </w:tblStylePr>
    <w:tblStylePr w:type="lastRow">
      <w:rPr>
        <w:b/>
        <w:bCs/>
        <w:color w:val="3F3F3F" w:themeColor="text1"/>
      </w:rPr>
      <w:tblPr/>
      <w:tcPr>
        <w:shd w:val="clear" w:color="auto" w:fill="E9B8B5" w:themeFill="accent4" w:themeFillTint="66"/>
      </w:tcPr>
    </w:tblStylePr>
    <w:tblStylePr w:type="firstCol">
      <w:rPr>
        <w:color w:val="FFFFFF" w:themeColor="background1"/>
      </w:rPr>
      <w:tblPr/>
      <w:tcPr>
        <w:shd w:val="clear" w:color="auto" w:fill="9B352E" w:themeFill="accent4" w:themeFillShade="BF"/>
      </w:tcPr>
    </w:tblStylePr>
    <w:tblStylePr w:type="lastCol">
      <w:rPr>
        <w:color w:val="FFFFFF" w:themeColor="background1"/>
      </w:rPr>
      <w:tblPr/>
      <w:tcPr>
        <w:shd w:val="clear" w:color="auto" w:fill="9B352E" w:themeFill="accent4" w:themeFillShade="BF"/>
      </w:tcPr>
    </w:tblStylePr>
    <w:tblStylePr w:type="band1Vert">
      <w:tblPr/>
      <w:tcPr>
        <w:shd w:val="clear" w:color="auto" w:fill="E3A7A2" w:themeFill="accent4" w:themeFillTint="7F"/>
      </w:tcPr>
    </w:tblStylePr>
    <w:tblStylePr w:type="band1Horz">
      <w:tblPr/>
      <w:tcPr>
        <w:shd w:val="clear" w:color="auto" w:fill="E3A7A2" w:themeFill="accent4" w:themeFillTint="7F"/>
      </w:tcPr>
    </w:tblStylePr>
  </w:style>
  <w:style w:type="table" w:styleId="ColorfulGrid-Accent3">
    <w:name w:val="Colorful Grid Accent 3"/>
    <w:basedOn w:val="TableNormal"/>
    <w:uiPriority w:val="73"/>
    <w:rsid w:val="00633C07"/>
    <w:rPr>
      <w:color w:val="3F3F3F"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3F3F3F"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List-Accent6">
    <w:name w:val="Colorful List Accent 6"/>
    <w:basedOn w:val="TableNormal"/>
    <w:uiPriority w:val="72"/>
    <w:rsid w:val="00633C07"/>
    <w:rPr>
      <w:color w:val="3F3F3F" w:themeColor="text1"/>
    </w:rPr>
    <w:tblPr>
      <w:tblStyleRowBandSize w:val="1"/>
      <w:tblStyleColBandSize w:val="1"/>
    </w:tblPr>
    <w:tcPr>
      <w:shd w:val="clear" w:color="auto" w:fill="F3F3F3" w:themeFill="accent6" w:themeFillTint="19"/>
    </w:tcPr>
    <w:tblStylePr w:type="firstRow">
      <w:rPr>
        <w:b/>
        <w:bCs/>
        <w:color w:val="FFFFFF" w:themeColor="background1"/>
      </w:rPr>
      <w:tblPr/>
      <w:tcPr>
        <w:tcBorders>
          <w:bottom w:val="single" w:sz="12" w:space="0" w:color="FFFFFF" w:themeColor="background1"/>
        </w:tcBorders>
        <w:shd w:val="clear" w:color="auto" w:fill="206195" w:themeFill="accent5" w:themeFillShade="CC"/>
      </w:tcPr>
    </w:tblStylePr>
    <w:tblStylePr w:type="lastRow">
      <w:rPr>
        <w:b/>
        <w:bCs/>
        <w:color w:val="206195" w:themeColor="accent5" w:themeShade="CC"/>
      </w:rPr>
      <w:tblPr/>
      <w:tcPr>
        <w:tcBorders>
          <w:top w:val="single" w:sz="12" w:space="0" w:color="3F3F3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2E2" w:themeFill="accent6" w:themeFillTint="3F"/>
      </w:tcPr>
    </w:tblStylePr>
    <w:tblStylePr w:type="band1Horz">
      <w:tblPr/>
      <w:tcPr>
        <w:shd w:val="clear" w:color="auto" w:fill="E8E8E8" w:themeFill="accent6" w:themeFillTint="33"/>
      </w:tcPr>
    </w:tblStylePr>
  </w:style>
  <w:style w:type="table" w:styleId="ColorfulList-Accent5">
    <w:name w:val="Colorful List Accent 5"/>
    <w:basedOn w:val="TableNormal"/>
    <w:uiPriority w:val="72"/>
    <w:rsid w:val="00633C07"/>
    <w:rPr>
      <w:color w:val="3F3F3F" w:themeColor="text1"/>
    </w:rPr>
    <w:tblPr>
      <w:tblStyleRowBandSize w:val="1"/>
      <w:tblStyleColBandSize w:val="1"/>
    </w:tblPr>
    <w:tcPr>
      <w:shd w:val="clear" w:color="auto" w:fill="E7F2FA" w:themeFill="accent5" w:themeFillTint="19"/>
    </w:tcPr>
    <w:tblStylePr w:type="firstRow">
      <w:rPr>
        <w:b/>
        <w:bCs/>
        <w:color w:val="FFFFFF" w:themeColor="background1"/>
      </w:rPr>
      <w:tblPr/>
      <w:tcPr>
        <w:tcBorders>
          <w:bottom w:val="single" w:sz="12" w:space="0" w:color="FFFFFF" w:themeColor="background1"/>
        </w:tcBorders>
        <w:shd w:val="clear" w:color="auto" w:fill="707070" w:themeFill="accent6" w:themeFillShade="CC"/>
      </w:tcPr>
    </w:tblStylePr>
    <w:tblStylePr w:type="lastRow">
      <w:rPr>
        <w:b/>
        <w:bCs/>
        <w:color w:val="707070" w:themeColor="accent6" w:themeShade="CC"/>
      </w:rPr>
      <w:tblPr/>
      <w:tcPr>
        <w:tcBorders>
          <w:top w:val="single" w:sz="12" w:space="0" w:color="3F3F3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DEF2" w:themeFill="accent5" w:themeFillTint="3F"/>
      </w:tcPr>
    </w:tblStylePr>
    <w:tblStylePr w:type="band1Horz">
      <w:tblPr/>
      <w:tcPr>
        <w:shd w:val="clear" w:color="auto" w:fill="D0E4F5" w:themeFill="accent5" w:themeFillTint="33"/>
      </w:tcPr>
    </w:tblStylePr>
  </w:style>
  <w:style w:type="table" w:styleId="ColorfulList-Accent4">
    <w:name w:val="Colorful List Accent 4"/>
    <w:basedOn w:val="TableNormal"/>
    <w:uiPriority w:val="72"/>
    <w:rsid w:val="00633C07"/>
    <w:rPr>
      <w:color w:val="3F3F3F" w:themeColor="text1"/>
    </w:rPr>
    <w:tblPr>
      <w:tblStyleRowBandSize w:val="1"/>
      <w:tblStyleColBandSize w:val="1"/>
    </w:tblPr>
    <w:tcPr>
      <w:shd w:val="clear" w:color="auto" w:fill="F9EDEC"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3F3F3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3D1" w:themeFill="accent4" w:themeFillTint="3F"/>
      </w:tcPr>
    </w:tblStylePr>
    <w:tblStylePr w:type="band1Horz">
      <w:tblPr/>
      <w:tcPr>
        <w:shd w:val="clear" w:color="auto" w:fill="F4DBDA" w:themeFill="accent4" w:themeFillTint="33"/>
      </w:tcPr>
    </w:tblStylePr>
  </w:style>
  <w:style w:type="table" w:styleId="ColorfulList-Accent3">
    <w:name w:val="Colorful List Accent 3"/>
    <w:basedOn w:val="TableNormal"/>
    <w:uiPriority w:val="72"/>
    <w:rsid w:val="00633C07"/>
    <w:rPr>
      <w:color w:val="3F3F3F"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A63931" w:themeFill="accent4" w:themeFillShade="CC"/>
      </w:tcPr>
    </w:tblStylePr>
    <w:tblStylePr w:type="lastRow">
      <w:rPr>
        <w:b/>
        <w:bCs/>
        <w:color w:val="A63931" w:themeColor="accent4" w:themeShade="CC"/>
      </w:rPr>
      <w:tblPr/>
      <w:tcPr>
        <w:tcBorders>
          <w:top w:val="single" w:sz="12" w:space="0" w:color="3F3F3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2">
    <w:name w:val="Colorful List Accent 2"/>
    <w:basedOn w:val="TableNormal"/>
    <w:uiPriority w:val="72"/>
    <w:rsid w:val="00633C07"/>
    <w:rPr>
      <w:color w:val="3F3F3F" w:themeColor="text1"/>
    </w:rPr>
    <w:tblPr>
      <w:tblStyleRowBandSize w:val="1"/>
      <w:tblStyleColBandSize w:val="1"/>
    </w:tblPr>
    <w:tcPr>
      <w:shd w:val="clear" w:color="auto" w:fill="F9F5ED" w:themeFill="accent2" w:themeFillTint="19"/>
    </w:tcPr>
    <w:tblStylePr w:type="firstRow">
      <w:rPr>
        <w:b/>
        <w:bCs/>
        <w:color w:val="FFFFFF" w:themeColor="background1"/>
      </w:rPr>
      <w:tblPr/>
      <w:tcPr>
        <w:tcBorders>
          <w:bottom w:val="single" w:sz="12" w:space="0" w:color="FFFFFF" w:themeColor="background1"/>
        </w:tcBorders>
        <w:shd w:val="clear" w:color="auto" w:fill="A57F38" w:themeFill="accent2" w:themeFillShade="CC"/>
      </w:tcPr>
    </w:tblStylePr>
    <w:tblStylePr w:type="lastRow">
      <w:rPr>
        <w:b/>
        <w:bCs/>
        <w:color w:val="A57F38" w:themeColor="accent2" w:themeShade="CC"/>
      </w:rPr>
      <w:tblPr/>
      <w:tcPr>
        <w:tcBorders>
          <w:top w:val="single" w:sz="12" w:space="0" w:color="3F3F3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E6D3" w:themeFill="accent2" w:themeFillTint="3F"/>
      </w:tcPr>
    </w:tblStylePr>
    <w:tblStylePr w:type="band1Horz">
      <w:tblPr/>
      <w:tcPr>
        <w:shd w:val="clear" w:color="auto" w:fill="F3EBDC" w:themeFill="accent2" w:themeFillTint="33"/>
      </w:tcPr>
    </w:tblStylePr>
  </w:style>
  <w:style w:type="table" w:styleId="ColorfulList-Accent1">
    <w:name w:val="Colorful List Accent 1"/>
    <w:basedOn w:val="TableNormal"/>
    <w:uiPriority w:val="72"/>
    <w:rsid w:val="00633C07"/>
    <w:rPr>
      <w:color w:val="3F3F3F" w:themeColor="text1"/>
    </w:rPr>
    <w:tblPr>
      <w:tblStyleRowBandSize w:val="1"/>
      <w:tblStyleColBandSize w:val="1"/>
    </w:tblPr>
    <w:tcPr>
      <w:shd w:val="clear" w:color="auto" w:fill="E8E2F8" w:themeFill="accent1" w:themeFillTint="19"/>
    </w:tcPr>
    <w:tblStylePr w:type="firstRow">
      <w:rPr>
        <w:b/>
        <w:bCs/>
        <w:color w:val="FFFFFF" w:themeColor="background1"/>
      </w:rPr>
      <w:tblPr/>
      <w:tcPr>
        <w:tcBorders>
          <w:bottom w:val="single" w:sz="12" w:space="0" w:color="FFFFFF" w:themeColor="background1"/>
        </w:tcBorders>
        <w:shd w:val="clear" w:color="auto" w:fill="A57F38" w:themeFill="accent2" w:themeFillShade="CC"/>
      </w:tcPr>
    </w:tblStylePr>
    <w:tblStylePr w:type="lastRow">
      <w:rPr>
        <w:b/>
        <w:bCs/>
        <w:color w:val="A57F38" w:themeColor="accent2" w:themeShade="CC"/>
      </w:rPr>
      <w:tblPr/>
      <w:tcPr>
        <w:tcBorders>
          <w:top w:val="single" w:sz="12" w:space="0" w:color="3F3F3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B6EF" w:themeFill="accent1" w:themeFillTint="3F"/>
      </w:tcPr>
    </w:tblStylePr>
    <w:tblStylePr w:type="band1Horz">
      <w:tblPr/>
      <w:tcPr>
        <w:shd w:val="clear" w:color="auto" w:fill="D0C4F2" w:themeFill="accent1" w:themeFillTint="33"/>
      </w:tcPr>
    </w:tblStylePr>
  </w:style>
  <w:style w:type="table" w:styleId="ColorfulList">
    <w:name w:val="Colorful List"/>
    <w:basedOn w:val="TableNormal"/>
    <w:uiPriority w:val="72"/>
    <w:rsid w:val="00633C07"/>
    <w:rPr>
      <w:color w:val="3F3F3F"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A57F38" w:themeFill="accent2" w:themeFillShade="CC"/>
      </w:tcPr>
    </w:tblStylePr>
    <w:tblStylePr w:type="lastRow">
      <w:rPr>
        <w:b/>
        <w:bCs/>
        <w:color w:val="A57F38" w:themeColor="accent2" w:themeShade="CC"/>
      </w:rPr>
      <w:tblPr/>
      <w:tcPr>
        <w:tcBorders>
          <w:top w:val="single" w:sz="12" w:space="0" w:color="3F3F3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Shading-Accent6">
    <w:name w:val="Colorful Shading Accent 6"/>
    <w:basedOn w:val="TableNormal"/>
    <w:uiPriority w:val="71"/>
    <w:rsid w:val="00633C07"/>
    <w:rPr>
      <w:color w:val="3F3F3F" w:themeColor="text1"/>
    </w:rPr>
    <w:tblPr>
      <w:tblStyleRowBandSize w:val="1"/>
      <w:tblStyleColBandSize w:val="1"/>
      <w:tblBorders>
        <w:top w:val="single" w:sz="24" w:space="0" w:color="287ABB" w:themeColor="accent5"/>
        <w:left w:val="single" w:sz="4" w:space="0" w:color="8C8C8C" w:themeColor="accent6"/>
        <w:bottom w:val="single" w:sz="4" w:space="0" w:color="8C8C8C" w:themeColor="accent6"/>
        <w:right w:val="single" w:sz="4" w:space="0" w:color="8C8C8C" w:themeColor="accent6"/>
        <w:insideH w:val="single" w:sz="4" w:space="0" w:color="FFFFFF" w:themeColor="background1"/>
        <w:insideV w:val="single" w:sz="4" w:space="0" w:color="FFFFFF" w:themeColor="background1"/>
      </w:tblBorders>
    </w:tblPr>
    <w:tcPr>
      <w:shd w:val="clear" w:color="auto" w:fill="F3F3F3" w:themeFill="accent6" w:themeFillTint="19"/>
    </w:tcPr>
    <w:tblStylePr w:type="firstRow">
      <w:rPr>
        <w:b/>
        <w:bCs/>
      </w:rPr>
      <w:tblPr/>
      <w:tcPr>
        <w:tcBorders>
          <w:top w:val="nil"/>
          <w:left w:val="nil"/>
          <w:bottom w:val="single" w:sz="24" w:space="0" w:color="287AB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5454" w:themeFill="accent6" w:themeFillShade="99"/>
      </w:tcPr>
    </w:tblStylePr>
    <w:tblStylePr w:type="firstCol">
      <w:rPr>
        <w:color w:val="FFFFFF" w:themeColor="background1"/>
      </w:rPr>
      <w:tblPr/>
      <w:tcPr>
        <w:tcBorders>
          <w:top w:val="nil"/>
          <w:left w:val="nil"/>
          <w:bottom w:val="nil"/>
          <w:right w:val="nil"/>
          <w:insideH w:val="single" w:sz="4" w:space="0" w:color="545454" w:themeColor="accent6" w:themeShade="99"/>
          <w:insideV w:val="nil"/>
        </w:tcBorders>
        <w:shd w:val="clear" w:color="auto" w:fill="5454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5454" w:themeFill="accent6" w:themeFillShade="99"/>
      </w:tcPr>
    </w:tblStylePr>
    <w:tblStylePr w:type="band1Vert">
      <w:tblPr/>
      <w:tcPr>
        <w:shd w:val="clear" w:color="auto" w:fill="D1D1D1" w:themeFill="accent6" w:themeFillTint="66"/>
      </w:tcPr>
    </w:tblStylePr>
    <w:tblStylePr w:type="band1Horz">
      <w:tblPr/>
      <w:tcPr>
        <w:shd w:val="clear" w:color="auto" w:fill="C5C5C5" w:themeFill="accent6" w:themeFillTint="7F"/>
      </w:tcPr>
    </w:tblStylePr>
    <w:tblStylePr w:type="neCell">
      <w:rPr>
        <w:color w:val="3F3F3F" w:themeColor="text1"/>
      </w:rPr>
    </w:tblStylePr>
    <w:tblStylePr w:type="nwCell">
      <w:rPr>
        <w:color w:val="3F3F3F" w:themeColor="text1"/>
      </w:rPr>
    </w:tblStylePr>
  </w:style>
  <w:style w:type="table" w:styleId="ColorfulShading-Accent5">
    <w:name w:val="Colorful Shading Accent 5"/>
    <w:basedOn w:val="TableNormal"/>
    <w:uiPriority w:val="71"/>
    <w:rsid w:val="00633C07"/>
    <w:rPr>
      <w:color w:val="3F3F3F" w:themeColor="text1"/>
    </w:rPr>
    <w:tblPr>
      <w:tblStyleRowBandSize w:val="1"/>
      <w:tblStyleColBandSize w:val="1"/>
      <w:tblBorders>
        <w:top w:val="single" w:sz="24" w:space="0" w:color="8C8C8C" w:themeColor="accent6"/>
        <w:left w:val="single" w:sz="4" w:space="0" w:color="287ABB" w:themeColor="accent5"/>
        <w:bottom w:val="single" w:sz="4" w:space="0" w:color="287ABB" w:themeColor="accent5"/>
        <w:right w:val="single" w:sz="4" w:space="0" w:color="287ABB" w:themeColor="accent5"/>
        <w:insideH w:val="single" w:sz="4" w:space="0" w:color="FFFFFF" w:themeColor="background1"/>
        <w:insideV w:val="single" w:sz="4" w:space="0" w:color="FFFFFF" w:themeColor="background1"/>
      </w:tblBorders>
    </w:tblPr>
    <w:tcPr>
      <w:shd w:val="clear" w:color="auto" w:fill="E7F2FA" w:themeFill="accent5" w:themeFillTint="19"/>
    </w:tcPr>
    <w:tblStylePr w:type="firstRow">
      <w:rPr>
        <w:b/>
        <w:bCs/>
      </w:rPr>
      <w:tblPr/>
      <w:tcPr>
        <w:tcBorders>
          <w:top w:val="nil"/>
          <w:left w:val="nil"/>
          <w:bottom w:val="single" w:sz="24" w:space="0" w:color="8C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970" w:themeFill="accent5" w:themeFillShade="99"/>
      </w:tcPr>
    </w:tblStylePr>
    <w:tblStylePr w:type="firstCol">
      <w:rPr>
        <w:color w:val="FFFFFF" w:themeColor="background1"/>
      </w:rPr>
      <w:tblPr/>
      <w:tcPr>
        <w:tcBorders>
          <w:top w:val="nil"/>
          <w:left w:val="nil"/>
          <w:bottom w:val="nil"/>
          <w:right w:val="nil"/>
          <w:insideH w:val="single" w:sz="4" w:space="0" w:color="184970" w:themeColor="accent5" w:themeShade="99"/>
          <w:insideV w:val="nil"/>
        </w:tcBorders>
        <w:shd w:val="clear" w:color="auto" w:fill="18497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4970" w:themeFill="accent5" w:themeFillShade="99"/>
      </w:tcPr>
    </w:tblStylePr>
    <w:tblStylePr w:type="band1Vert">
      <w:tblPr/>
      <w:tcPr>
        <w:shd w:val="clear" w:color="auto" w:fill="A1CAEB" w:themeFill="accent5" w:themeFillTint="66"/>
      </w:tcPr>
    </w:tblStylePr>
    <w:tblStylePr w:type="band1Horz">
      <w:tblPr/>
      <w:tcPr>
        <w:shd w:val="clear" w:color="auto" w:fill="8ABDE6" w:themeFill="accent5" w:themeFillTint="7F"/>
      </w:tcPr>
    </w:tblStylePr>
    <w:tblStylePr w:type="neCell">
      <w:rPr>
        <w:color w:val="3F3F3F" w:themeColor="text1"/>
      </w:rPr>
    </w:tblStylePr>
    <w:tblStylePr w:type="nwCell">
      <w:rPr>
        <w:color w:val="3F3F3F" w:themeColor="text1"/>
      </w:rPr>
    </w:tblStylePr>
  </w:style>
  <w:style w:type="table" w:styleId="ColorfulShading-Accent4">
    <w:name w:val="Colorful Shading Accent 4"/>
    <w:basedOn w:val="TableNormal"/>
    <w:uiPriority w:val="71"/>
    <w:rsid w:val="00633C07"/>
    <w:rPr>
      <w:color w:val="3F3F3F" w:themeColor="text1"/>
    </w:rPr>
    <w:tblPr>
      <w:tblStyleRowBandSize w:val="1"/>
      <w:tblStyleColBandSize w:val="1"/>
      <w:tblBorders>
        <w:top w:val="single" w:sz="24" w:space="0" w:color="FFFFFF" w:themeColor="accent3"/>
        <w:left w:val="single" w:sz="4" w:space="0" w:color="C84F46" w:themeColor="accent4"/>
        <w:bottom w:val="single" w:sz="4" w:space="0" w:color="C84F46" w:themeColor="accent4"/>
        <w:right w:val="single" w:sz="4" w:space="0" w:color="C84F46" w:themeColor="accent4"/>
        <w:insideH w:val="single" w:sz="4" w:space="0" w:color="FFFFFF" w:themeColor="background1"/>
        <w:insideV w:val="single" w:sz="4" w:space="0" w:color="FFFFFF" w:themeColor="background1"/>
      </w:tblBorders>
    </w:tblPr>
    <w:tcPr>
      <w:shd w:val="clear" w:color="auto" w:fill="F9EDEC"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2B25" w:themeFill="accent4" w:themeFillShade="99"/>
      </w:tcPr>
    </w:tblStylePr>
    <w:tblStylePr w:type="firstCol">
      <w:rPr>
        <w:color w:val="FFFFFF" w:themeColor="background1"/>
      </w:rPr>
      <w:tblPr/>
      <w:tcPr>
        <w:tcBorders>
          <w:top w:val="nil"/>
          <w:left w:val="nil"/>
          <w:bottom w:val="nil"/>
          <w:right w:val="nil"/>
          <w:insideH w:val="single" w:sz="4" w:space="0" w:color="7C2B25" w:themeColor="accent4" w:themeShade="99"/>
          <w:insideV w:val="nil"/>
        </w:tcBorders>
        <w:shd w:val="clear" w:color="auto" w:fill="7C2B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C2B25" w:themeFill="accent4" w:themeFillShade="99"/>
      </w:tcPr>
    </w:tblStylePr>
    <w:tblStylePr w:type="band1Vert">
      <w:tblPr/>
      <w:tcPr>
        <w:shd w:val="clear" w:color="auto" w:fill="E9B8B5" w:themeFill="accent4" w:themeFillTint="66"/>
      </w:tcPr>
    </w:tblStylePr>
    <w:tblStylePr w:type="band1Horz">
      <w:tblPr/>
      <w:tcPr>
        <w:shd w:val="clear" w:color="auto" w:fill="E3A7A2" w:themeFill="accent4" w:themeFillTint="7F"/>
      </w:tcPr>
    </w:tblStylePr>
    <w:tblStylePr w:type="neCell">
      <w:rPr>
        <w:color w:val="3F3F3F" w:themeColor="text1"/>
      </w:rPr>
    </w:tblStylePr>
    <w:tblStylePr w:type="nwCell">
      <w:rPr>
        <w:color w:val="3F3F3F" w:themeColor="text1"/>
      </w:rPr>
    </w:tblStylePr>
  </w:style>
  <w:style w:type="table" w:styleId="ColorfulShading-Accent3">
    <w:name w:val="Colorful Shading Accent 3"/>
    <w:basedOn w:val="TableNormal"/>
    <w:uiPriority w:val="71"/>
    <w:rsid w:val="00633C07"/>
    <w:rPr>
      <w:color w:val="3F3F3F" w:themeColor="text1"/>
    </w:rPr>
    <w:tblPr>
      <w:tblStyleRowBandSize w:val="1"/>
      <w:tblStyleColBandSize w:val="1"/>
      <w:tblBorders>
        <w:top w:val="single" w:sz="24" w:space="0" w:color="C84F46"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C84F4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2">
    <w:name w:val="Colorful Shading Accent 2"/>
    <w:basedOn w:val="TableNormal"/>
    <w:uiPriority w:val="71"/>
    <w:rsid w:val="00633C07"/>
    <w:rPr>
      <w:color w:val="3F3F3F" w:themeColor="text1"/>
    </w:rPr>
    <w:tblPr>
      <w:tblStyleRowBandSize w:val="1"/>
      <w:tblStyleColBandSize w:val="1"/>
      <w:tblBorders>
        <w:top w:val="single" w:sz="24" w:space="0" w:color="C49C51" w:themeColor="accent2"/>
        <w:left w:val="single" w:sz="4" w:space="0" w:color="C49C51" w:themeColor="accent2"/>
        <w:bottom w:val="single" w:sz="4" w:space="0" w:color="C49C51" w:themeColor="accent2"/>
        <w:right w:val="single" w:sz="4" w:space="0" w:color="C49C51" w:themeColor="accent2"/>
        <w:insideH w:val="single" w:sz="4" w:space="0" w:color="FFFFFF" w:themeColor="background1"/>
        <w:insideV w:val="single" w:sz="4" w:space="0" w:color="FFFFFF" w:themeColor="background1"/>
      </w:tblBorders>
    </w:tblPr>
    <w:tcPr>
      <w:shd w:val="clear" w:color="auto" w:fill="F9F5ED" w:themeFill="accent2" w:themeFillTint="19"/>
    </w:tcPr>
    <w:tblStylePr w:type="firstRow">
      <w:rPr>
        <w:b/>
        <w:bCs/>
      </w:rPr>
      <w:tblPr/>
      <w:tcPr>
        <w:tcBorders>
          <w:top w:val="nil"/>
          <w:left w:val="nil"/>
          <w:bottom w:val="single" w:sz="24" w:space="0" w:color="C49C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F2A" w:themeFill="accent2" w:themeFillShade="99"/>
      </w:tcPr>
    </w:tblStylePr>
    <w:tblStylePr w:type="firstCol">
      <w:rPr>
        <w:color w:val="FFFFFF" w:themeColor="background1"/>
      </w:rPr>
      <w:tblPr/>
      <w:tcPr>
        <w:tcBorders>
          <w:top w:val="nil"/>
          <w:left w:val="nil"/>
          <w:bottom w:val="nil"/>
          <w:right w:val="nil"/>
          <w:insideH w:val="single" w:sz="4" w:space="0" w:color="7B5F2A" w:themeColor="accent2" w:themeShade="99"/>
          <w:insideV w:val="nil"/>
        </w:tcBorders>
        <w:shd w:val="clear" w:color="auto" w:fill="7B5F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5F2A" w:themeFill="accent2" w:themeFillShade="99"/>
      </w:tcPr>
    </w:tblStylePr>
    <w:tblStylePr w:type="band1Vert">
      <w:tblPr/>
      <w:tcPr>
        <w:shd w:val="clear" w:color="auto" w:fill="E7D7B9" w:themeFill="accent2" w:themeFillTint="66"/>
      </w:tcPr>
    </w:tblStylePr>
    <w:tblStylePr w:type="band1Horz">
      <w:tblPr/>
      <w:tcPr>
        <w:shd w:val="clear" w:color="auto" w:fill="E1CDA8" w:themeFill="accent2" w:themeFillTint="7F"/>
      </w:tcPr>
    </w:tblStylePr>
    <w:tblStylePr w:type="neCell">
      <w:rPr>
        <w:color w:val="3F3F3F" w:themeColor="text1"/>
      </w:rPr>
    </w:tblStylePr>
    <w:tblStylePr w:type="nwCell">
      <w:rPr>
        <w:color w:val="3F3F3F" w:themeColor="text1"/>
      </w:rPr>
    </w:tblStylePr>
  </w:style>
  <w:style w:type="table" w:styleId="ColorfulShading-Accent1">
    <w:name w:val="Colorful Shading Accent 1"/>
    <w:basedOn w:val="TableNormal"/>
    <w:uiPriority w:val="71"/>
    <w:rsid w:val="00633C07"/>
    <w:rPr>
      <w:color w:val="3F3F3F" w:themeColor="text1"/>
    </w:rPr>
    <w:tblPr>
      <w:tblStyleRowBandSize w:val="1"/>
      <w:tblStyleColBandSize w:val="1"/>
      <w:tblBorders>
        <w:top w:val="single" w:sz="24" w:space="0" w:color="C49C51" w:themeColor="accent2"/>
        <w:left w:val="single" w:sz="4" w:space="0" w:color="361C7F" w:themeColor="accent1"/>
        <w:bottom w:val="single" w:sz="4" w:space="0" w:color="361C7F" w:themeColor="accent1"/>
        <w:right w:val="single" w:sz="4" w:space="0" w:color="361C7F" w:themeColor="accent1"/>
        <w:insideH w:val="single" w:sz="4" w:space="0" w:color="FFFFFF" w:themeColor="background1"/>
        <w:insideV w:val="single" w:sz="4" w:space="0" w:color="FFFFFF" w:themeColor="background1"/>
      </w:tblBorders>
    </w:tblPr>
    <w:tcPr>
      <w:shd w:val="clear" w:color="auto" w:fill="E8E2F8" w:themeFill="accent1" w:themeFillTint="19"/>
    </w:tcPr>
    <w:tblStylePr w:type="firstRow">
      <w:rPr>
        <w:b/>
        <w:bCs/>
      </w:rPr>
      <w:tblPr/>
      <w:tcPr>
        <w:tcBorders>
          <w:top w:val="nil"/>
          <w:left w:val="nil"/>
          <w:bottom w:val="single" w:sz="24" w:space="0" w:color="C49C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104C" w:themeFill="accent1" w:themeFillShade="99"/>
      </w:tcPr>
    </w:tblStylePr>
    <w:tblStylePr w:type="firstCol">
      <w:rPr>
        <w:color w:val="FFFFFF" w:themeColor="background1"/>
      </w:rPr>
      <w:tblPr/>
      <w:tcPr>
        <w:tcBorders>
          <w:top w:val="nil"/>
          <w:left w:val="nil"/>
          <w:bottom w:val="nil"/>
          <w:right w:val="nil"/>
          <w:insideH w:val="single" w:sz="4" w:space="0" w:color="20104C" w:themeColor="accent1" w:themeShade="99"/>
          <w:insideV w:val="nil"/>
        </w:tcBorders>
        <w:shd w:val="clear" w:color="auto" w:fill="2010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0104C" w:themeFill="accent1" w:themeFillShade="99"/>
      </w:tcPr>
    </w:tblStylePr>
    <w:tblStylePr w:type="band1Vert">
      <w:tblPr/>
      <w:tcPr>
        <w:shd w:val="clear" w:color="auto" w:fill="A28AE5" w:themeFill="accent1" w:themeFillTint="66"/>
      </w:tcPr>
    </w:tblStylePr>
    <w:tblStylePr w:type="band1Horz">
      <w:tblPr/>
      <w:tcPr>
        <w:shd w:val="clear" w:color="auto" w:fill="8B6DDF" w:themeFill="accent1" w:themeFillTint="7F"/>
      </w:tcPr>
    </w:tblStylePr>
    <w:tblStylePr w:type="neCell">
      <w:rPr>
        <w:color w:val="3F3F3F" w:themeColor="text1"/>
      </w:rPr>
    </w:tblStylePr>
    <w:tblStylePr w:type="nwCell">
      <w:rPr>
        <w:color w:val="3F3F3F" w:themeColor="text1"/>
      </w:rPr>
    </w:tblStylePr>
  </w:style>
  <w:style w:type="table" w:styleId="ColorfulShading">
    <w:name w:val="Colorful Shading"/>
    <w:basedOn w:val="TableNormal"/>
    <w:uiPriority w:val="71"/>
    <w:rsid w:val="00633C07"/>
    <w:rPr>
      <w:color w:val="3F3F3F" w:themeColor="text1"/>
    </w:rPr>
    <w:tblPr>
      <w:tblStyleRowBandSize w:val="1"/>
      <w:tblStyleColBandSize w:val="1"/>
      <w:tblBorders>
        <w:top w:val="single" w:sz="24" w:space="0" w:color="C49C51" w:themeColor="accent2"/>
        <w:left w:val="single" w:sz="4" w:space="0" w:color="3F3F3F" w:themeColor="text1"/>
        <w:bottom w:val="single" w:sz="4" w:space="0" w:color="3F3F3F" w:themeColor="text1"/>
        <w:right w:val="single" w:sz="4" w:space="0" w:color="3F3F3F"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C49C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2525" w:themeFill="text1" w:themeFillShade="99"/>
      </w:tcPr>
    </w:tblStylePr>
    <w:tblStylePr w:type="firstCol">
      <w:rPr>
        <w:color w:val="FFFFFF" w:themeColor="background1"/>
      </w:rPr>
      <w:tblPr/>
      <w:tcPr>
        <w:tcBorders>
          <w:top w:val="nil"/>
          <w:left w:val="nil"/>
          <w:bottom w:val="nil"/>
          <w:right w:val="nil"/>
          <w:insideH w:val="single" w:sz="4" w:space="0" w:color="252525" w:themeColor="text1" w:themeShade="99"/>
          <w:insideV w:val="nil"/>
        </w:tcBorders>
        <w:shd w:val="clear" w:color="auto" w:fill="25252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3F3F3F" w:themeColor="text1"/>
      </w:rPr>
    </w:tblStylePr>
    <w:tblStylePr w:type="nwCell">
      <w:rPr>
        <w:color w:val="3F3F3F" w:themeColor="text1"/>
      </w:rPr>
    </w:tblStylePr>
  </w:style>
  <w:style w:type="table" w:styleId="DarkList-Accent6">
    <w:name w:val="Dark List Accent 6"/>
    <w:basedOn w:val="TableNormal"/>
    <w:uiPriority w:val="70"/>
    <w:rsid w:val="00633C07"/>
    <w:rPr>
      <w:color w:val="FFFFFF" w:themeColor="background1"/>
    </w:rPr>
    <w:tblPr>
      <w:tblStyleRowBandSize w:val="1"/>
      <w:tblStyleColBandSize w:val="1"/>
    </w:tblPr>
    <w:tcPr>
      <w:shd w:val="clear" w:color="auto" w:fill="8C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F3F3F" w:themeFill="text1"/>
      </w:tcPr>
    </w:tblStylePr>
    <w:tblStylePr w:type="lastRow">
      <w:tblPr/>
      <w:tcPr>
        <w:tcBorders>
          <w:top w:val="single" w:sz="18" w:space="0" w:color="FFFFFF" w:themeColor="background1"/>
          <w:left w:val="nil"/>
          <w:bottom w:val="nil"/>
          <w:right w:val="nil"/>
          <w:insideH w:val="nil"/>
          <w:insideV w:val="nil"/>
        </w:tcBorders>
        <w:shd w:val="clear" w:color="auto" w:fill="45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68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6868" w:themeFill="accent6" w:themeFillShade="BF"/>
      </w:tcPr>
    </w:tblStylePr>
    <w:tblStylePr w:type="band1Vert">
      <w:tblPr/>
      <w:tcPr>
        <w:tcBorders>
          <w:top w:val="nil"/>
          <w:left w:val="nil"/>
          <w:bottom w:val="nil"/>
          <w:right w:val="nil"/>
          <w:insideH w:val="nil"/>
          <w:insideV w:val="nil"/>
        </w:tcBorders>
        <w:shd w:val="clear" w:color="auto" w:fill="686868" w:themeFill="accent6" w:themeFillShade="BF"/>
      </w:tcPr>
    </w:tblStylePr>
    <w:tblStylePr w:type="band1Horz">
      <w:tblPr/>
      <w:tcPr>
        <w:tcBorders>
          <w:top w:val="nil"/>
          <w:left w:val="nil"/>
          <w:bottom w:val="nil"/>
          <w:right w:val="nil"/>
          <w:insideH w:val="nil"/>
          <w:insideV w:val="nil"/>
        </w:tcBorders>
        <w:shd w:val="clear" w:color="auto" w:fill="686868" w:themeFill="accent6" w:themeFillShade="BF"/>
      </w:tcPr>
    </w:tblStylePr>
  </w:style>
  <w:style w:type="table" w:styleId="MediumGrid3-Accent2">
    <w:name w:val="Medium Grid 3 Accent 2"/>
    <w:basedOn w:val="TableNormal"/>
    <w:uiPriority w:val="69"/>
    <w:rsid w:val="00633C0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6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9C5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9C5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9C5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9C5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CDA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CDA8" w:themeFill="accent2" w:themeFillTint="7F"/>
      </w:tcPr>
    </w:tblStylePr>
  </w:style>
  <w:style w:type="table" w:styleId="MediumGrid3-Accent1">
    <w:name w:val="Medium Grid 3 Accent 1"/>
    <w:basedOn w:val="TableNormal"/>
    <w:uiPriority w:val="69"/>
    <w:rsid w:val="00633C0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B6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1C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1C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1C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1C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6DD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6DDF" w:themeFill="accent1" w:themeFillTint="7F"/>
      </w:tcPr>
    </w:tblStylePr>
  </w:style>
  <w:style w:type="table" w:styleId="MediumGrid3">
    <w:name w:val="Medium Grid 3"/>
    <w:basedOn w:val="TableNormal"/>
    <w:uiPriority w:val="69"/>
    <w:rsid w:val="00633C0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3F3F"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3F3F"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3F3F"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3F3F"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2-Accent6">
    <w:name w:val="Medium Grid 2 Accent 6"/>
    <w:basedOn w:val="TableNormal"/>
    <w:uiPriority w:val="68"/>
    <w:rsid w:val="00633C07"/>
    <w:rPr>
      <w:rFonts w:asciiTheme="majorHAnsi" w:eastAsiaTheme="majorEastAsia" w:hAnsiTheme="majorHAnsi" w:cstheme="majorBidi"/>
      <w:color w:val="3F3F3F" w:themeColor="text1"/>
    </w:rPr>
    <w:tblPr>
      <w:tblStyleRowBandSize w:val="1"/>
      <w:tblStyleColBandSize w:val="1"/>
      <w:tblBorders>
        <w:top w:val="single" w:sz="8" w:space="0" w:color="8C8C8C" w:themeColor="accent6"/>
        <w:left w:val="single" w:sz="8" w:space="0" w:color="8C8C8C" w:themeColor="accent6"/>
        <w:bottom w:val="single" w:sz="8" w:space="0" w:color="8C8C8C" w:themeColor="accent6"/>
        <w:right w:val="single" w:sz="8" w:space="0" w:color="8C8C8C" w:themeColor="accent6"/>
        <w:insideH w:val="single" w:sz="8" w:space="0" w:color="8C8C8C" w:themeColor="accent6"/>
        <w:insideV w:val="single" w:sz="8" w:space="0" w:color="8C8C8C" w:themeColor="accent6"/>
      </w:tblBorders>
    </w:tblPr>
    <w:tcPr>
      <w:shd w:val="clear" w:color="auto" w:fill="E2E2E2" w:themeFill="accent6" w:themeFillTint="3F"/>
    </w:tcPr>
    <w:tblStylePr w:type="firstRow">
      <w:rPr>
        <w:b/>
        <w:bCs/>
        <w:color w:val="3F3F3F" w:themeColor="text1"/>
      </w:rPr>
      <w:tblPr/>
      <w:tcPr>
        <w:shd w:val="clear" w:color="auto" w:fill="F3F3F3" w:themeFill="accent6" w:themeFillTint="19"/>
      </w:tcPr>
    </w:tblStylePr>
    <w:tblStylePr w:type="lastRow">
      <w:rPr>
        <w:b/>
        <w:bCs/>
        <w:color w:val="3F3F3F" w:themeColor="text1"/>
      </w:rPr>
      <w:tblPr/>
      <w:tcPr>
        <w:tcBorders>
          <w:top w:val="single" w:sz="12" w:space="0" w:color="3F3F3F" w:themeColor="text1"/>
          <w:left w:val="nil"/>
          <w:bottom w:val="nil"/>
          <w:right w:val="nil"/>
          <w:insideH w:val="nil"/>
          <w:insideV w:val="nil"/>
        </w:tcBorders>
        <w:shd w:val="clear" w:color="auto" w:fill="FFFFFF" w:themeFill="background1"/>
      </w:tcPr>
    </w:tblStylePr>
    <w:tblStylePr w:type="firstCol">
      <w:rPr>
        <w:b/>
        <w:bCs/>
        <w:color w:val="3F3F3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F3F3F" w:themeColor="text1"/>
      </w:rPr>
      <w:tblPr/>
      <w:tcPr>
        <w:tcBorders>
          <w:top w:val="nil"/>
          <w:left w:val="nil"/>
          <w:bottom w:val="nil"/>
          <w:right w:val="nil"/>
          <w:insideH w:val="nil"/>
          <w:insideV w:val="nil"/>
        </w:tcBorders>
        <w:shd w:val="clear" w:color="auto" w:fill="E8E8E8" w:themeFill="accent6" w:themeFillTint="33"/>
      </w:tcPr>
    </w:tblStylePr>
    <w:tblStylePr w:type="band1Vert">
      <w:tblPr/>
      <w:tcPr>
        <w:shd w:val="clear" w:color="auto" w:fill="C5C5C5" w:themeFill="accent6" w:themeFillTint="7F"/>
      </w:tcPr>
    </w:tblStylePr>
    <w:tblStylePr w:type="band1Horz">
      <w:tblPr/>
      <w:tcPr>
        <w:tcBorders>
          <w:insideH w:val="single" w:sz="6" w:space="0" w:color="8C8C8C" w:themeColor="accent6"/>
          <w:insideV w:val="single" w:sz="6" w:space="0" w:color="8C8C8C" w:themeColor="accent6"/>
        </w:tcBorders>
        <w:shd w:val="clear" w:color="auto" w:fill="C5C5C5"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33C07"/>
    <w:rPr>
      <w:rFonts w:asciiTheme="majorHAnsi" w:eastAsiaTheme="majorEastAsia" w:hAnsiTheme="majorHAnsi" w:cstheme="majorBidi"/>
      <w:color w:val="3F3F3F" w:themeColor="text1"/>
    </w:rPr>
    <w:tblPr>
      <w:tblStyleRowBandSize w:val="1"/>
      <w:tblStyleColBandSize w:val="1"/>
      <w:tblBorders>
        <w:top w:val="single" w:sz="8" w:space="0" w:color="287ABB" w:themeColor="accent5"/>
        <w:left w:val="single" w:sz="8" w:space="0" w:color="287ABB" w:themeColor="accent5"/>
        <w:bottom w:val="single" w:sz="8" w:space="0" w:color="287ABB" w:themeColor="accent5"/>
        <w:right w:val="single" w:sz="8" w:space="0" w:color="287ABB" w:themeColor="accent5"/>
        <w:insideH w:val="single" w:sz="8" w:space="0" w:color="287ABB" w:themeColor="accent5"/>
        <w:insideV w:val="single" w:sz="8" w:space="0" w:color="287ABB" w:themeColor="accent5"/>
      </w:tblBorders>
    </w:tblPr>
    <w:tcPr>
      <w:shd w:val="clear" w:color="auto" w:fill="C5DEF2" w:themeFill="accent5" w:themeFillTint="3F"/>
    </w:tcPr>
    <w:tblStylePr w:type="firstRow">
      <w:rPr>
        <w:b/>
        <w:bCs/>
        <w:color w:val="3F3F3F" w:themeColor="text1"/>
      </w:rPr>
      <w:tblPr/>
      <w:tcPr>
        <w:shd w:val="clear" w:color="auto" w:fill="E7F2FA" w:themeFill="accent5" w:themeFillTint="19"/>
      </w:tcPr>
    </w:tblStylePr>
    <w:tblStylePr w:type="lastRow">
      <w:rPr>
        <w:b/>
        <w:bCs/>
        <w:color w:val="3F3F3F" w:themeColor="text1"/>
      </w:rPr>
      <w:tblPr/>
      <w:tcPr>
        <w:tcBorders>
          <w:top w:val="single" w:sz="12" w:space="0" w:color="3F3F3F" w:themeColor="text1"/>
          <w:left w:val="nil"/>
          <w:bottom w:val="nil"/>
          <w:right w:val="nil"/>
          <w:insideH w:val="nil"/>
          <w:insideV w:val="nil"/>
        </w:tcBorders>
        <w:shd w:val="clear" w:color="auto" w:fill="FFFFFF" w:themeFill="background1"/>
      </w:tcPr>
    </w:tblStylePr>
    <w:tblStylePr w:type="firstCol">
      <w:rPr>
        <w:b/>
        <w:bCs/>
        <w:color w:val="3F3F3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F3F3F" w:themeColor="text1"/>
      </w:rPr>
      <w:tblPr/>
      <w:tcPr>
        <w:tcBorders>
          <w:top w:val="nil"/>
          <w:left w:val="nil"/>
          <w:bottom w:val="nil"/>
          <w:right w:val="nil"/>
          <w:insideH w:val="nil"/>
          <w:insideV w:val="nil"/>
        </w:tcBorders>
        <w:shd w:val="clear" w:color="auto" w:fill="D0E4F5" w:themeFill="accent5" w:themeFillTint="33"/>
      </w:tcPr>
    </w:tblStylePr>
    <w:tblStylePr w:type="band1Vert">
      <w:tblPr/>
      <w:tcPr>
        <w:shd w:val="clear" w:color="auto" w:fill="8ABDE6" w:themeFill="accent5" w:themeFillTint="7F"/>
      </w:tcPr>
    </w:tblStylePr>
    <w:tblStylePr w:type="band1Horz">
      <w:tblPr/>
      <w:tcPr>
        <w:tcBorders>
          <w:insideH w:val="single" w:sz="6" w:space="0" w:color="287ABB" w:themeColor="accent5"/>
          <w:insideV w:val="single" w:sz="6" w:space="0" w:color="287ABB" w:themeColor="accent5"/>
        </w:tcBorders>
        <w:shd w:val="clear" w:color="auto" w:fill="8ABDE6"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33C07"/>
    <w:rPr>
      <w:rFonts w:asciiTheme="majorHAnsi" w:eastAsiaTheme="majorEastAsia" w:hAnsiTheme="majorHAnsi" w:cstheme="majorBidi"/>
      <w:color w:val="3F3F3F" w:themeColor="text1"/>
    </w:rPr>
    <w:tblPr>
      <w:tblStyleRowBandSize w:val="1"/>
      <w:tblStyleColBandSize w:val="1"/>
      <w:tblBorders>
        <w:top w:val="single" w:sz="8" w:space="0" w:color="C84F46" w:themeColor="accent4"/>
        <w:left w:val="single" w:sz="8" w:space="0" w:color="C84F46" w:themeColor="accent4"/>
        <w:bottom w:val="single" w:sz="8" w:space="0" w:color="C84F46" w:themeColor="accent4"/>
        <w:right w:val="single" w:sz="8" w:space="0" w:color="C84F46" w:themeColor="accent4"/>
        <w:insideH w:val="single" w:sz="8" w:space="0" w:color="C84F46" w:themeColor="accent4"/>
        <w:insideV w:val="single" w:sz="8" w:space="0" w:color="C84F46" w:themeColor="accent4"/>
      </w:tblBorders>
    </w:tblPr>
    <w:tcPr>
      <w:shd w:val="clear" w:color="auto" w:fill="F1D3D1" w:themeFill="accent4" w:themeFillTint="3F"/>
    </w:tcPr>
    <w:tblStylePr w:type="firstRow">
      <w:rPr>
        <w:b/>
        <w:bCs/>
        <w:color w:val="3F3F3F" w:themeColor="text1"/>
      </w:rPr>
      <w:tblPr/>
      <w:tcPr>
        <w:shd w:val="clear" w:color="auto" w:fill="F9EDEC" w:themeFill="accent4" w:themeFillTint="19"/>
      </w:tcPr>
    </w:tblStylePr>
    <w:tblStylePr w:type="lastRow">
      <w:rPr>
        <w:b/>
        <w:bCs/>
        <w:color w:val="3F3F3F" w:themeColor="text1"/>
      </w:rPr>
      <w:tblPr/>
      <w:tcPr>
        <w:tcBorders>
          <w:top w:val="single" w:sz="12" w:space="0" w:color="3F3F3F" w:themeColor="text1"/>
          <w:left w:val="nil"/>
          <w:bottom w:val="nil"/>
          <w:right w:val="nil"/>
          <w:insideH w:val="nil"/>
          <w:insideV w:val="nil"/>
        </w:tcBorders>
        <w:shd w:val="clear" w:color="auto" w:fill="FFFFFF" w:themeFill="background1"/>
      </w:tcPr>
    </w:tblStylePr>
    <w:tblStylePr w:type="firstCol">
      <w:rPr>
        <w:b/>
        <w:bCs/>
        <w:color w:val="3F3F3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F3F3F" w:themeColor="text1"/>
      </w:rPr>
      <w:tblPr/>
      <w:tcPr>
        <w:tcBorders>
          <w:top w:val="nil"/>
          <w:left w:val="nil"/>
          <w:bottom w:val="nil"/>
          <w:right w:val="nil"/>
          <w:insideH w:val="nil"/>
          <w:insideV w:val="nil"/>
        </w:tcBorders>
        <w:shd w:val="clear" w:color="auto" w:fill="F4DBDA" w:themeFill="accent4" w:themeFillTint="33"/>
      </w:tcPr>
    </w:tblStylePr>
    <w:tblStylePr w:type="band1Vert">
      <w:tblPr/>
      <w:tcPr>
        <w:shd w:val="clear" w:color="auto" w:fill="E3A7A2" w:themeFill="accent4" w:themeFillTint="7F"/>
      </w:tcPr>
    </w:tblStylePr>
    <w:tblStylePr w:type="band1Horz">
      <w:tblPr/>
      <w:tcPr>
        <w:tcBorders>
          <w:insideH w:val="single" w:sz="6" w:space="0" w:color="C84F46" w:themeColor="accent4"/>
          <w:insideV w:val="single" w:sz="6" w:space="0" w:color="C84F46" w:themeColor="accent4"/>
        </w:tcBorders>
        <w:shd w:val="clear" w:color="auto" w:fill="E3A7A2"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33C07"/>
    <w:rPr>
      <w:rFonts w:asciiTheme="majorHAnsi" w:eastAsiaTheme="majorEastAsia" w:hAnsiTheme="majorHAnsi" w:cstheme="majorBidi"/>
      <w:color w:val="3F3F3F"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3F3F3F" w:themeColor="text1"/>
      </w:rPr>
      <w:tblPr/>
      <w:tcPr>
        <w:shd w:val="clear" w:color="auto" w:fill="FFFFFF" w:themeFill="accent3" w:themeFillTint="19"/>
      </w:tcPr>
    </w:tblStylePr>
    <w:tblStylePr w:type="lastRow">
      <w:rPr>
        <w:b/>
        <w:bCs/>
        <w:color w:val="3F3F3F" w:themeColor="text1"/>
      </w:rPr>
      <w:tblPr/>
      <w:tcPr>
        <w:tcBorders>
          <w:top w:val="single" w:sz="12" w:space="0" w:color="3F3F3F" w:themeColor="text1"/>
          <w:left w:val="nil"/>
          <w:bottom w:val="nil"/>
          <w:right w:val="nil"/>
          <w:insideH w:val="nil"/>
          <w:insideV w:val="nil"/>
        </w:tcBorders>
        <w:shd w:val="clear" w:color="auto" w:fill="FFFFFF" w:themeFill="background1"/>
      </w:tcPr>
    </w:tblStylePr>
    <w:tblStylePr w:type="firstCol">
      <w:rPr>
        <w:b/>
        <w:bCs/>
        <w:color w:val="3F3F3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F3F3F"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33C07"/>
    <w:rPr>
      <w:rFonts w:asciiTheme="majorHAnsi" w:eastAsiaTheme="majorEastAsia" w:hAnsiTheme="majorHAnsi" w:cstheme="majorBidi"/>
      <w:color w:val="3F3F3F" w:themeColor="text1"/>
    </w:rPr>
    <w:tblPr>
      <w:tblStyleRowBandSize w:val="1"/>
      <w:tblStyleColBandSize w:val="1"/>
      <w:tblBorders>
        <w:top w:val="single" w:sz="8" w:space="0" w:color="C49C51" w:themeColor="accent2"/>
        <w:left w:val="single" w:sz="8" w:space="0" w:color="C49C51" w:themeColor="accent2"/>
        <w:bottom w:val="single" w:sz="8" w:space="0" w:color="C49C51" w:themeColor="accent2"/>
        <w:right w:val="single" w:sz="8" w:space="0" w:color="C49C51" w:themeColor="accent2"/>
        <w:insideH w:val="single" w:sz="8" w:space="0" w:color="C49C51" w:themeColor="accent2"/>
        <w:insideV w:val="single" w:sz="8" w:space="0" w:color="C49C51" w:themeColor="accent2"/>
      </w:tblBorders>
    </w:tblPr>
    <w:tcPr>
      <w:shd w:val="clear" w:color="auto" w:fill="F0E6D3" w:themeFill="accent2" w:themeFillTint="3F"/>
    </w:tcPr>
    <w:tblStylePr w:type="firstRow">
      <w:rPr>
        <w:b/>
        <w:bCs/>
        <w:color w:val="3F3F3F" w:themeColor="text1"/>
      </w:rPr>
      <w:tblPr/>
      <w:tcPr>
        <w:shd w:val="clear" w:color="auto" w:fill="F9F5ED" w:themeFill="accent2" w:themeFillTint="19"/>
      </w:tcPr>
    </w:tblStylePr>
    <w:tblStylePr w:type="lastRow">
      <w:rPr>
        <w:b/>
        <w:bCs/>
        <w:color w:val="3F3F3F" w:themeColor="text1"/>
      </w:rPr>
      <w:tblPr/>
      <w:tcPr>
        <w:tcBorders>
          <w:top w:val="single" w:sz="12" w:space="0" w:color="3F3F3F" w:themeColor="text1"/>
          <w:left w:val="nil"/>
          <w:bottom w:val="nil"/>
          <w:right w:val="nil"/>
          <w:insideH w:val="nil"/>
          <w:insideV w:val="nil"/>
        </w:tcBorders>
        <w:shd w:val="clear" w:color="auto" w:fill="FFFFFF" w:themeFill="background1"/>
      </w:tcPr>
    </w:tblStylePr>
    <w:tblStylePr w:type="firstCol">
      <w:rPr>
        <w:b/>
        <w:bCs/>
        <w:color w:val="3F3F3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F3F3F" w:themeColor="text1"/>
      </w:rPr>
      <w:tblPr/>
      <w:tcPr>
        <w:tcBorders>
          <w:top w:val="nil"/>
          <w:left w:val="nil"/>
          <w:bottom w:val="nil"/>
          <w:right w:val="nil"/>
          <w:insideH w:val="nil"/>
          <w:insideV w:val="nil"/>
        </w:tcBorders>
        <w:shd w:val="clear" w:color="auto" w:fill="F3EBDC" w:themeFill="accent2" w:themeFillTint="33"/>
      </w:tcPr>
    </w:tblStylePr>
    <w:tblStylePr w:type="band1Vert">
      <w:tblPr/>
      <w:tcPr>
        <w:shd w:val="clear" w:color="auto" w:fill="E1CDA8" w:themeFill="accent2" w:themeFillTint="7F"/>
      </w:tcPr>
    </w:tblStylePr>
    <w:tblStylePr w:type="band1Horz">
      <w:tblPr/>
      <w:tcPr>
        <w:tcBorders>
          <w:insideH w:val="single" w:sz="6" w:space="0" w:color="C49C51" w:themeColor="accent2"/>
          <w:insideV w:val="single" w:sz="6" w:space="0" w:color="C49C51" w:themeColor="accent2"/>
        </w:tcBorders>
        <w:shd w:val="clear" w:color="auto" w:fill="E1CDA8"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33C07"/>
    <w:rPr>
      <w:rFonts w:asciiTheme="majorHAnsi" w:eastAsiaTheme="majorEastAsia" w:hAnsiTheme="majorHAnsi" w:cstheme="majorBidi"/>
      <w:color w:val="3F3F3F" w:themeColor="text1"/>
    </w:rPr>
    <w:tblPr>
      <w:tblStyleRowBandSize w:val="1"/>
      <w:tblStyleColBandSize w:val="1"/>
      <w:tblBorders>
        <w:top w:val="single" w:sz="8" w:space="0" w:color="361C7F" w:themeColor="accent1"/>
        <w:left w:val="single" w:sz="8" w:space="0" w:color="361C7F" w:themeColor="accent1"/>
        <w:bottom w:val="single" w:sz="8" w:space="0" w:color="361C7F" w:themeColor="accent1"/>
        <w:right w:val="single" w:sz="8" w:space="0" w:color="361C7F" w:themeColor="accent1"/>
        <w:insideH w:val="single" w:sz="8" w:space="0" w:color="361C7F" w:themeColor="accent1"/>
        <w:insideV w:val="single" w:sz="8" w:space="0" w:color="361C7F" w:themeColor="accent1"/>
      </w:tblBorders>
    </w:tblPr>
    <w:tcPr>
      <w:shd w:val="clear" w:color="auto" w:fill="C5B6EF" w:themeFill="accent1" w:themeFillTint="3F"/>
    </w:tcPr>
    <w:tblStylePr w:type="firstRow">
      <w:rPr>
        <w:b/>
        <w:bCs/>
        <w:color w:val="3F3F3F" w:themeColor="text1"/>
      </w:rPr>
      <w:tblPr/>
      <w:tcPr>
        <w:shd w:val="clear" w:color="auto" w:fill="E8E2F8" w:themeFill="accent1" w:themeFillTint="19"/>
      </w:tcPr>
    </w:tblStylePr>
    <w:tblStylePr w:type="lastRow">
      <w:rPr>
        <w:b/>
        <w:bCs/>
        <w:color w:val="3F3F3F" w:themeColor="text1"/>
      </w:rPr>
      <w:tblPr/>
      <w:tcPr>
        <w:tcBorders>
          <w:top w:val="single" w:sz="12" w:space="0" w:color="3F3F3F" w:themeColor="text1"/>
          <w:left w:val="nil"/>
          <w:bottom w:val="nil"/>
          <w:right w:val="nil"/>
          <w:insideH w:val="nil"/>
          <w:insideV w:val="nil"/>
        </w:tcBorders>
        <w:shd w:val="clear" w:color="auto" w:fill="FFFFFF" w:themeFill="background1"/>
      </w:tcPr>
    </w:tblStylePr>
    <w:tblStylePr w:type="firstCol">
      <w:rPr>
        <w:b/>
        <w:bCs/>
        <w:color w:val="3F3F3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F3F3F" w:themeColor="text1"/>
      </w:rPr>
      <w:tblPr/>
      <w:tcPr>
        <w:tcBorders>
          <w:top w:val="nil"/>
          <w:left w:val="nil"/>
          <w:bottom w:val="nil"/>
          <w:right w:val="nil"/>
          <w:insideH w:val="nil"/>
          <w:insideV w:val="nil"/>
        </w:tcBorders>
        <w:shd w:val="clear" w:color="auto" w:fill="D0C4F2" w:themeFill="accent1" w:themeFillTint="33"/>
      </w:tcPr>
    </w:tblStylePr>
    <w:tblStylePr w:type="band1Vert">
      <w:tblPr/>
      <w:tcPr>
        <w:shd w:val="clear" w:color="auto" w:fill="8B6DDF" w:themeFill="accent1" w:themeFillTint="7F"/>
      </w:tcPr>
    </w:tblStylePr>
    <w:tblStylePr w:type="band1Horz">
      <w:tblPr/>
      <w:tcPr>
        <w:tcBorders>
          <w:insideH w:val="single" w:sz="6" w:space="0" w:color="361C7F" w:themeColor="accent1"/>
          <w:insideV w:val="single" w:sz="6" w:space="0" w:color="361C7F" w:themeColor="accent1"/>
        </w:tcBorders>
        <w:shd w:val="clear" w:color="auto" w:fill="8B6DDF"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633C07"/>
    <w:rPr>
      <w:rFonts w:asciiTheme="majorHAnsi" w:eastAsiaTheme="majorEastAsia" w:hAnsiTheme="majorHAnsi" w:cstheme="majorBidi"/>
      <w:color w:val="3F3F3F" w:themeColor="text1"/>
    </w:rPr>
    <w:tblPr>
      <w:tblStyleRowBandSize w:val="1"/>
      <w:tblStyleColBandSize w:val="1"/>
      <w:tblBorders>
        <w:top w:val="single" w:sz="8" w:space="0" w:color="3F3F3F" w:themeColor="text1"/>
        <w:left w:val="single" w:sz="8" w:space="0" w:color="3F3F3F" w:themeColor="text1"/>
        <w:bottom w:val="single" w:sz="8" w:space="0" w:color="3F3F3F" w:themeColor="text1"/>
        <w:right w:val="single" w:sz="8" w:space="0" w:color="3F3F3F" w:themeColor="text1"/>
        <w:insideH w:val="single" w:sz="8" w:space="0" w:color="3F3F3F" w:themeColor="text1"/>
        <w:insideV w:val="single" w:sz="8" w:space="0" w:color="3F3F3F" w:themeColor="text1"/>
      </w:tblBorders>
    </w:tblPr>
    <w:tcPr>
      <w:shd w:val="clear" w:color="auto" w:fill="CFCFCF" w:themeFill="text1" w:themeFillTint="3F"/>
    </w:tcPr>
    <w:tblStylePr w:type="firstRow">
      <w:rPr>
        <w:b/>
        <w:bCs/>
        <w:color w:val="3F3F3F" w:themeColor="text1"/>
      </w:rPr>
      <w:tblPr/>
      <w:tcPr>
        <w:shd w:val="clear" w:color="auto" w:fill="ECECEC" w:themeFill="text1" w:themeFillTint="19"/>
      </w:tcPr>
    </w:tblStylePr>
    <w:tblStylePr w:type="lastRow">
      <w:rPr>
        <w:b/>
        <w:bCs/>
        <w:color w:val="3F3F3F" w:themeColor="text1"/>
      </w:rPr>
      <w:tblPr/>
      <w:tcPr>
        <w:tcBorders>
          <w:top w:val="single" w:sz="12" w:space="0" w:color="3F3F3F" w:themeColor="text1"/>
          <w:left w:val="nil"/>
          <w:bottom w:val="nil"/>
          <w:right w:val="nil"/>
          <w:insideH w:val="nil"/>
          <w:insideV w:val="nil"/>
        </w:tcBorders>
        <w:shd w:val="clear" w:color="auto" w:fill="FFFFFF" w:themeFill="background1"/>
      </w:tcPr>
    </w:tblStylePr>
    <w:tblStylePr w:type="firstCol">
      <w:rPr>
        <w:b/>
        <w:bCs/>
        <w:color w:val="3F3F3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F3F3F"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3F3F3F" w:themeColor="text1"/>
          <w:insideV w:val="single" w:sz="6" w:space="0" w:color="3F3F3F" w:themeColor="text1"/>
        </w:tcBorders>
        <w:shd w:val="clear" w:color="auto" w:fill="9F9F9F"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633C07"/>
    <w:tblPr>
      <w:tblStyleRowBandSize w:val="1"/>
      <w:tblStyleColBandSize w:val="1"/>
      <w:tblBorders>
        <w:top w:val="single" w:sz="8" w:space="0" w:color="A8A8A8" w:themeColor="accent6" w:themeTint="BF"/>
        <w:left w:val="single" w:sz="8" w:space="0" w:color="A8A8A8" w:themeColor="accent6" w:themeTint="BF"/>
        <w:bottom w:val="single" w:sz="8" w:space="0" w:color="A8A8A8" w:themeColor="accent6" w:themeTint="BF"/>
        <w:right w:val="single" w:sz="8" w:space="0" w:color="A8A8A8" w:themeColor="accent6" w:themeTint="BF"/>
        <w:insideH w:val="single" w:sz="8" w:space="0" w:color="A8A8A8" w:themeColor="accent6" w:themeTint="BF"/>
        <w:insideV w:val="single" w:sz="8" w:space="0" w:color="A8A8A8" w:themeColor="accent6" w:themeTint="BF"/>
      </w:tblBorders>
    </w:tblPr>
    <w:tcPr>
      <w:shd w:val="clear" w:color="auto" w:fill="E2E2E2" w:themeFill="accent6" w:themeFillTint="3F"/>
    </w:tcPr>
    <w:tblStylePr w:type="firstRow">
      <w:rPr>
        <w:b/>
        <w:bCs/>
      </w:rPr>
    </w:tblStylePr>
    <w:tblStylePr w:type="lastRow">
      <w:rPr>
        <w:b/>
        <w:bCs/>
      </w:rPr>
      <w:tblPr/>
      <w:tcPr>
        <w:tcBorders>
          <w:top w:val="single" w:sz="18" w:space="0" w:color="A8A8A8" w:themeColor="accent6" w:themeTint="BF"/>
        </w:tcBorders>
      </w:tcPr>
    </w:tblStylePr>
    <w:tblStylePr w:type="firstCol">
      <w:rPr>
        <w:b/>
        <w:bCs/>
      </w:rPr>
    </w:tblStylePr>
    <w:tblStylePr w:type="lastCol">
      <w:rPr>
        <w:b/>
        <w:bCs/>
      </w:rPr>
    </w:tblStylePr>
    <w:tblStylePr w:type="band1Vert">
      <w:tblPr/>
      <w:tcPr>
        <w:shd w:val="clear" w:color="auto" w:fill="C5C5C5" w:themeFill="accent6" w:themeFillTint="7F"/>
      </w:tcPr>
    </w:tblStylePr>
    <w:tblStylePr w:type="band1Horz">
      <w:tblPr/>
      <w:tcPr>
        <w:shd w:val="clear" w:color="auto" w:fill="C5C5C5" w:themeFill="accent6" w:themeFillTint="7F"/>
      </w:tcPr>
    </w:tblStylePr>
  </w:style>
  <w:style w:type="table" w:styleId="MediumGrid1-Accent5">
    <w:name w:val="Medium Grid 1 Accent 5"/>
    <w:basedOn w:val="TableNormal"/>
    <w:uiPriority w:val="67"/>
    <w:rsid w:val="00633C07"/>
    <w:tblPr>
      <w:tblStyleRowBandSize w:val="1"/>
      <w:tblStyleColBandSize w:val="1"/>
      <w:tblBorders>
        <w:top w:val="single" w:sz="8" w:space="0" w:color="509CD9" w:themeColor="accent5" w:themeTint="BF"/>
        <w:left w:val="single" w:sz="8" w:space="0" w:color="509CD9" w:themeColor="accent5" w:themeTint="BF"/>
        <w:bottom w:val="single" w:sz="8" w:space="0" w:color="509CD9" w:themeColor="accent5" w:themeTint="BF"/>
        <w:right w:val="single" w:sz="8" w:space="0" w:color="509CD9" w:themeColor="accent5" w:themeTint="BF"/>
        <w:insideH w:val="single" w:sz="8" w:space="0" w:color="509CD9" w:themeColor="accent5" w:themeTint="BF"/>
        <w:insideV w:val="single" w:sz="8" w:space="0" w:color="509CD9" w:themeColor="accent5" w:themeTint="BF"/>
      </w:tblBorders>
    </w:tblPr>
    <w:tcPr>
      <w:shd w:val="clear" w:color="auto" w:fill="C5DEF2" w:themeFill="accent5" w:themeFillTint="3F"/>
    </w:tcPr>
    <w:tblStylePr w:type="firstRow">
      <w:rPr>
        <w:b/>
        <w:bCs/>
      </w:rPr>
    </w:tblStylePr>
    <w:tblStylePr w:type="lastRow">
      <w:rPr>
        <w:b/>
        <w:bCs/>
      </w:rPr>
      <w:tblPr/>
      <w:tcPr>
        <w:tcBorders>
          <w:top w:val="single" w:sz="18" w:space="0" w:color="509CD9" w:themeColor="accent5" w:themeTint="BF"/>
        </w:tcBorders>
      </w:tcPr>
    </w:tblStylePr>
    <w:tblStylePr w:type="firstCol">
      <w:rPr>
        <w:b/>
        <w:bCs/>
      </w:rPr>
    </w:tblStylePr>
    <w:tblStylePr w:type="lastCol">
      <w:rPr>
        <w:b/>
        <w:bCs/>
      </w:rPr>
    </w:tblStylePr>
    <w:tblStylePr w:type="band1Vert">
      <w:tblPr/>
      <w:tcPr>
        <w:shd w:val="clear" w:color="auto" w:fill="8ABDE6" w:themeFill="accent5" w:themeFillTint="7F"/>
      </w:tcPr>
    </w:tblStylePr>
    <w:tblStylePr w:type="band1Horz">
      <w:tblPr/>
      <w:tcPr>
        <w:shd w:val="clear" w:color="auto" w:fill="8ABDE6" w:themeFill="accent5" w:themeFillTint="7F"/>
      </w:tcPr>
    </w:tblStylePr>
  </w:style>
  <w:style w:type="table" w:styleId="MediumList2-Accent6">
    <w:name w:val="Medium List 2 Accent 6"/>
    <w:basedOn w:val="TableNormal"/>
    <w:uiPriority w:val="66"/>
    <w:rsid w:val="00633C07"/>
    <w:rPr>
      <w:rFonts w:asciiTheme="majorHAnsi" w:eastAsiaTheme="majorEastAsia" w:hAnsiTheme="majorHAnsi" w:cstheme="majorBidi"/>
      <w:color w:val="3F3F3F" w:themeColor="text1"/>
    </w:rPr>
    <w:tblPr>
      <w:tblStyleRowBandSize w:val="1"/>
      <w:tblStyleColBandSize w:val="1"/>
      <w:tblBorders>
        <w:top w:val="single" w:sz="8" w:space="0" w:color="8C8C8C" w:themeColor="accent6"/>
        <w:left w:val="single" w:sz="8" w:space="0" w:color="8C8C8C" w:themeColor="accent6"/>
        <w:bottom w:val="single" w:sz="8" w:space="0" w:color="8C8C8C" w:themeColor="accent6"/>
        <w:right w:val="single" w:sz="8" w:space="0" w:color="8C8C8C" w:themeColor="accent6"/>
      </w:tblBorders>
    </w:tblPr>
    <w:tblStylePr w:type="firstRow">
      <w:rPr>
        <w:sz w:val="24"/>
        <w:szCs w:val="24"/>
      </w:rPr>
      <w:tblPr/>
      <w:tcPr>
        <w:tcBorders>
          <w:top w:val="nil"/>
          <w:left w:val="nil"/>
          <w:bottom w:val="single" w:sz="24" w:space="0" w:color="8C8C8C" w:themeColor="accent6"/>
          <w:right w:val="nil"/>
          <w:insideH w:val="nil"/>
          <w:insideV w:val="nil"/>
        </w:tcBorders>
        <w:shd w:val="clear" w:color="auto" w:fill="FFFFFF" w:themeFill="background1"/>
      </w:tcPr>
    </w:tblStylePr>
    <w:tblStylePr w:type="lastRow">
      <w:tblPr/>
      <w:tcPr>
        <w:tcBorders>
          <w:top w:val="single" w:sz="8" w:space="0" w:color="8C8C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8C8C" w:themeColor="accent6"/>
          <w:insideH w:val="nil"/>
          <w:insideV w:val="nil"/>
        </w:tcBorders>
        <w:shd w:val="clear" w:color="auto" w:fill="FFFFFF" w:themeFill="background1"/>
      </w:tcPr>
    </w:tblStylePr>
    <w:tblStylePr w:type="lastCol">
      <w:tblPr/>
      <w:tcPr>
        <w:tcBorders>
          <w:top w:val="nil"/>
          <w:left w:val="single" w:sz="8" w:space="0" w:color="8C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2E2" w:themeFill="accent6" w:themeFillTint="3F"/>
      </w:tcPr>
    </w:tblStylePr>
    <w:tblStylePr w:type="band1Horz">
      <w:tblPr/>
      <w:tcPr>
        <w:tcBorders>
          <w:top w:val="nil"/>
          <w:bottom w:val="nil"/>
          <w:insideH w:val="nil"/>
          <w:insideV w:val="nil"/>
        </w:tcBorders>
        <w:shd w:val="clear" w:color="auto" w:fill="E2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33C07"/>
    <w:rPr>
      <w:rFonts w:asciiTheme="majorHAnsi" w:eastAsiaTheme="majorEastAsia" w:hAnsiTheme="majorHAnsi" w:cstheme="majorBidi"/>
      <w:color w:val="3F3F3F" w:themeColor="text1"/>
    </w:rPr>
    <w:tblPr>
      <w:tblStyleRowBandSize w:val="1"/>
      <w:tblStyleColBandSize w:val="1"/>
      <w:tblBorders>
        <w:top w:val="single" w:sz="8" w:space="0" w:color="287ABB" w:themeColor="accent5"/>
        <w:left w:val="single" w:sz="8" w:space="0" w:color="287ABB" w:themeColor="accent5"/>
        <w:bottom w:val="single" w:sz="8" w:space="0" w:color="287ABB" w:themeColor="accent5"/>
        <w:right w:val="single" w:sz="8" w:space="0" w:color="287ABB" w:themeColor="accent5"/>
      </w:tblBorders>
    </w:tblPr>
    <w:tblStylePr w:type="firstRow">
      <w:rPr>
        <w:sz w:val="24"/>
        <w:szCs w:val="24"/>
      </w:rPr>
      <w:tblPr/>
      <w:tcPr>
        <w:tcBorders>
          <w:top w:val="nil"/>
          <w:left w:val="nil"/>
          <w:bottom w:val="single" w:sz="24" w:space="0" w:color="287ABB" w:themeColor="accent5"/>
          <w:right w:val="nil"/>
          <w:insideH w:val="nil"/>
          <w:insideV w:val="nil"/>
        </w:tcBorders>
        <w:shd w:val="clear" w:color="auto" w:fill="FFFFFF" w:themeFill="background1"/>
      </w:tcPr>
    </w:tblStylePr>
    <w:tblStylePr w:type="lastRow">
      <w:tblPr/>
      <w:tcPr>
        <w:tcBorders>
          <w:top w:val="single" w:sz="8" w:space="0" w:color="287AB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7ABB" w:themeColor="accent5"/>
          <w:insideH w:val="nil"/>
          <w:insideV w:val="nil"/>
        </w:tcBorders>
        <w:shd w:val="clear" w:color="auto" w:fill="FFFFFF" w:themeFill="background1"/>
      </w:tcPr>
    </w:tblStylePr>
    <w:tblStylePr w:type="lastCol">
      <w:tblPr/>
      <w:tcPr>
        <w:tcBorders>
          <w:top w:val="nil"/>
          <w:left w:val="single" w:sz="8" w:space="0" w:color="287AB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DEF2" w:themeFill="accent5" w:themeFillTint="3F"/>
      </w:tcPr>
    </w:tblStylePr>
    <w:tblStylePr w:type="band1Horz">
      <w:tblPr/>
      <w:tcPr>
        <w:tcBorders>
          <w:top w:val="nil"/>
          <w:bottom w:val="nil"/>
          <w:insideH w:val="nil"/>
          <w:insideV w:val="nil"/>
        </w:tcBorders>
        <w:shd w:val="clear" w:color="auto" w:fill="C5DEF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33C07"/>
    <w:rPr>
      <w:rFonts w:asciiTheme="majorHAnsi" w:eastAsiaTheme="majorEastAsia" w:hAnsiTheme="majorHAnsi" w:cstheme="majorBidi"/>
      <w:color w:val="3F3F3F" w:themeColor="text1"/>
    </w:rPr>
    <w:tblPr>
      <w:tblStyleRowBandSize w:val="1"/>
      <w:tblStyleColBandSize w:val="1"/>
      <w:tblBorders>
        <w:top w:val="single" w:sz="8" w:space="0" w:color="C84F46" w:themeColor="accent4"/>
        <w:left w:val="single" w:sz="8" w:space="0" w:color="C84F46" w:themeColor="accent4"/>
        <w:bottom w:val="single" w:sz="8" w:space="0" w:color="C84F46" w:themeColor="accent4"/>
        <w:right w:val="single" w:sz="8" w:space="0" w:color="C84F46" w:themeColor="accent4"/>
      </w:tblBorders>
    </w:tblPr>
    <w:tblStylePr w:type="firstRow">
      <w:rPr>
        <w:sz w:val="24"/>
        <w:szCs w:val="24"/>
      </w:rPr>
      <w:tblPr/>
      <w:tcPr>
        <w:tcBorders>
          <w:top w:val="nil"/>
          <w:left w:val="nil"/>
          <w:bottom w:val="single" w:sz="24" w:space="0" w:color="C84F46" w:themeColor="accent4"/>
          <w:right w:val="nil"/>
          <w:insideH w:val="nil"/>
          <w:insideV w:val="nil"/>
        </w:tcBorders>
        <w:shd w:val="clear" w:color="auto" w:fill="FFFFFF" w:themeFill="background1"/>
      </w:tcPr>
    </w:tblStylePr>
    <w:tblStylePr w:type="lastRow">
      <w:tblPr/>
      <w:tcPr>
        <w:tcBorders>
          <w:top w:val="single" w:sz="8" w:space="0" w:color="C84F4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4F46" w:themeColor="accent4"/>
          <w:insideH w:val="nil"/>
          <w:insideV w:val="nil"/>
        </w:tcBorders>
        <w:shd w:val="clear" w:color="auto" w:fill="FFFFFF" w:themeFill="background1"/>
      </w:tcPr>
    </w:tblStylePr>
    <w:tblStylePr w:type="lastCol">
      <w:tblPr/>
      <w:tcPr>
        <w:tcBorders>
          <w:top w:val="nil"/>
          <w:left w:val="single" w:sz="8" w:space="0" w:color="C84F4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D3D1" w:themeFill="accent4" w:themeFillTint="3F"/>
      </w:tcPr>
    </w:tblStylePr>
    <w:tblStylePr w:type="band1Horz">
      <w:tblPr/>
      <w:tcPr>
        <w:tcBorders>
          <w:top w:val="nil"/>
          <w:bottom w:val="nil"/>
          <w:insideH w:val="nil"/>
          <w:insideV w:val="nil"/>
        </w:tcBorders>
        <w:shd w:val="clear" w:color="auto" w:fill="F1D3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33C07"/>
    <w:rPr>
      <w:rFonts w:asciiTheme="majorHAnsi" w:eastAsiaTheme="majorEastAsia" w:hAnsiTheme="majorHAnsi" w:cstheme="majorBidi"/>
      <w:color w:val="3F3F3F"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33C07"/>
    <w:rPr>
      <w:rFonts w:asciiTheme="majorHAnsi" w:eastAsiaTheme="majorEastAsia" w:hAnsiTheme="majorHAnsi" w:cstheme="majorBidi"/>
      <w:color w:val="3F3F3F" w:themeColor="text1"/>
    </w:rPr>
    <w:tblPr>
      <w:tblStyleRowBandSize w:val="1"/>
      <w:tblStyleColBandSize w:val="1"/>
      <w:tblBorders>
        <w:top w:val="single" w:sz="8" w:space="0" w:color="C49C51" w:themeColor="accent2"/>
        <w:left w:val="single" w:sz="8" w:space="0" w:color="C49C51" w:themeColor="accent2"/>
        <w:bottom w:val="single" w:sz="8" w:space="0" w:color="C49C51" w:themeColor="accent2"/>
        <w:right w:val="single" w:sz="8" w:space="0" w:color="C49C51" w:themeColor="accent2"/>
      </w:tblBorders>
    </w:tblPr>
    <w:tblStylePr w:type="firstRow">
      <w:rPr>
        <w:sz w:val="24"/>
        <w:szCs w:val="24"/>
      </w:rPr>
      <w:tblPr/>
      <w:tcPr>
        <w:tcBorders>
          <w:top w:val="nil"/>
          <w:left w:val="nil"/>
          <w:bottom w:val="single" w:sz="24" w:space="0" w:color="C49C51" w:themeColor="accent2"/>
          <w:right w:val="nil"/>
          <w:insideH w:val="nil"/>
          <w:insideV w:val="nil"/>
        </w:tcBorders>
        <w:shd w:val="clear" w:color="auto" w:fill="FFFFFF" w:themeFill="background1"/>
      </w:tcPr>
    </w:tblStylePr>
    <w:tblStylePr w:type="lastRow">
      <w:tblPr/>
      <w:tcPr>
        <w:tcBorders>
          <w:top w:val="single" w:sz="8" w:space="0" w:color="C49C5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9C51" w:themeColor="accent2"/>
          <w:insideH w:val="nil"/>
          <w:insideV w:val="nil"/>
        </w:tcBorders>
        <w:shd w:val="clear" w:color="auto" w:fill="FFFFFF" w:themeFill="background1"/>
      </w:tcPr>
    </w:tblStylePr>
    <w:tblStylePr w:type="lastCol">
      <w:tblPr/>
      <w:tcPr>
        <w:tcBorders>
          <w:top w:val="nil"/>
          <w:left w:val="single" w:sz="8" w:space="0" w:color="C49C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E6D3" w:themeFill="accent2" w:themeFillTint="3F"/>
      </w:tcPr>
    </w:tblStylePr>
    <w:tblStylePr w:type="band1Horz">
      <w:tblPr/>
      <w:tcPr>
        <w:tcBorders>
          <w:top w:val="nil"/>
          <w:bottom w:val="nil"/>
          <w:insideH w:val="nil"/>
          <w:insideV w:val="nil"/>
        </w:tcBorders>
        <w:shd w:val="clear" w:color="auto" w:fill="F0E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33C07"/>
    <w:rPr>
      <w:rFonts w:asciiTheme="majorHAnsi" w:eastAsiaTheme="majorEastAsia" w:hAnsiTheme="majorHAnsi" w:cstheme="majorBidi"/>
      <w:color w:val="3F3F3F" w:themeColor="text1"/>
    </w:rPr>
    <w:tblPr>
      <w:tblStyleRowBandSize w:val="1"/>
      <w:tblStyleColBandSize w:val="1"/>
      <w:tblBorders>
        <w:top w:val="single" w:sz="8" w:space="0" w:color="361C7F" w:themeColor="accent1"/>
        <w:left w:val="single" w:sz="8" w:space="0" w:color="361C7F" w:themeColor="accent1"/>
        <w:bottom w:val="single" w:sz="8" w:space="0" w:color="361C7F" w:themeColor="accent1"/>
        <w:right w:val="single" w:sz="8" w:space="0" w:color="361C7F" w:themeColor="accent1"/>
      </w:tblBorders>
    </w:tblPr>
    <w:tblStylePr w:type="firstRow">
      <w:rPr>
        <w:sz w:val="24"/>
        <w:szCs w:val="24"/>
      </w:rPr>
      <w:tblPr/>
      <w:tcPr>
        <w:tcBorders>
          <w:top w:val="nil"/>
          <w:left w:val="nil"/>
          <w:bottom w:val="single" w:sz="24" w:space="0" w:color="361C7F" w:themeColor="accent1"/>
          <w:right w:val="nil"/>
          <w:insideH w:val="nil"/>
          <w:insideV w:val="nil"/>
        </w:tcBorders>
        <w:shd w:val="clear" w:color="auto" w:fill="FFFFFF" w:themeFill="background1"/>
      </w:tcPr>
    </w:tblStylePr>
    <w:tblStylePr w:type="lastRow">
      <w:tblPr/>
      <w:tcPr>
        <w:tcBorders>
          <w:top w:val="single" w:sz="8" w:space="0" w:color="361C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1C7F" w:themeColor="accent1"/>
          <w:insideH w:val="nil"/>
          <w:insideV w:val="nil"/>
        </w:tcBorders>
        <w:shd w:val="clear" w:color="auto" w:fill="FFFFFF" w:themeFill="background1"/>
      </w:tcPr>
    </w:tblStylePr>
    <w:tblStylePr w:type="lastCol">
      <w:tblPr/>
      <w:tcPr>
        <w:tcBorders>
          <w:top w:val="nil"/>
          <w:left w:val="single" w:sz="8" w:space="0" w:color="361C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B6EF" w:themeFill="accent1" w:themeFillTint="3F"/>
      </w:tcPr>
    </w:tblStylePr>
    <w:tblStylePr w:type="band1Horz">
      <w:tblPr/>
      <w:tcPr>
        <w:tcBorders>
          <w:top w:val="nil"/>
          <w:bottom w:val="nil"/>
          <w:insideH w:val="nil"/>
          <w:insideV w:val="nil"/>
        </w:tcBorders>
        <w:shd w:val="clear" w:color="auto" w:fill="C5B6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633C07"/>
    <w:rPr>
      <w:color w:val="3F3F3F" w:themeColor="text1"/>
    </w:rPr>
    <w:tblPr>
      <w:tblStyleRowBandSize w:val="1"/>
      <w:tblStyleColBandSize w:val="1"/>
      <w:tblBorders>
        <w:top w:val="single" w:sz="8" w:space="0" w:color="8C8C8C" w:themeColor="accent6"/>
        <w:bottom w:val="single" w:sz="8" w:space="0" w:color="8C8C8C" w:themeColor="accent6"/>
      </w:tblBorders>
    </w:tblPr>
    <w:tblStylePr w:type="firstRow">
      <w:rPr>
        <w:rFonts w:asciiTheme="majorHAnsi" w:eastAsiaTheme="majorEastAsia" w:hAnsiTheme="majorHAnsi" w:cstheme="majorBidi"/>
      </w:rPr>
      <w:tblPr/>
      <w:tcPr>
        <w:tcBorders>
          <w:top w:val="nil"/>
          <w:bottom w:val="single" w:sz="8" w:space="0" w:color="8C8C8C" w:themeColor="accent6"/>
        </w:tcBorders>
      </w:tcPr>
    </w:tblStylePr>
    <w:tblStylePr w:type="lastRow">
      <w:rPr>
        <w:b/>
        <w:bCs/>
        <w:color w:val="361C7F" w:themeColor="text2"/>
      </w:rPr>
      <w:tblPr/>
      <w:tcPr>
        <w:tcBorders>
          <w:top w:val="single" w:sz="8" w:space="0" w:color="8C8C8C" w:themeColor="accent6"/>
          <w:bottom w:val="single" w:sz="8" w:space="0" w:color="8C8C8C" w:themeColor="accent6"/>
        </w:tcBorders>
      </w:tcPr>
    </w:tblStylePr>
    <w:tblStylePr w:type="firstCol">
      <w:rPr>
        <w:b/>
        <w:bCs/>
      </w:rPr>
    </w:tblStylePr>
    <w:tblStylePr w:type="lastCol">
      <w:rPr>
        <w:b/>
        <w:bCs/>
      </w:rPr>
      <w:tblPr/>
      <w:tcPr>
        <w:tcBorders>
          <w:top w:val="single" w:sz="8" w:space="0" w:color="8C8C8C" w:themeColor="accent6"/>
          <w:bottom w:val="single" w:sz="8" w:space="0" w:color="8C8C8C" w:themeColor="accent6"/>
        </w:tcBorders>
      </w:tcPr>
    </w:tblStylePr>
    <w:tblStylePr w:type="band1Vert">
      <w:tblPr/>
      <w:tcPr>
        <w:shd w:val="clear" w:color="auto" w:fill="E2E2E2" w:themeFill="accent6" w:themeFillTint="3F"/>
      </w:tcPr>
    </w:tblStylePr>
    <w:tblStylePr w:type="band1Horz">
      <w:tblPr/>
      <w:tcPr>
        <w:shd w:val="clear" w:color="auto" w:fill="E2E2E2" w:themeFill="accent6" w:themeFillTint="3F"/>
      </w:tcPr>
    </w:tblStylePr>
  </w:style>
  <w:style w:type="table" w:styleId="MediumList1-Accent5">
    <w:name w:val="Medium List 1 Accent 5"/>
    <w:basedOn w:val="TableNormal"/>
    <w:uiPriority w:val="65"/>
    <w:rsid w:val="00633C07"/>
    <w:rPr>
      <w:color w:val="3F3F3F" w:themeColor="text1"/>
    </w:rPr>
    <w:tblPr>
      <w:tblStyleRowBandSize w:val="1"/>
      <w:tblStyleColBandSize w:val="1"/>
      <w:tblBorders>
        <w:top w:val="single" w:sz="8" w:space="0" w:color="287ABB" w:themeColor="accent5"/>
        <w:bottom w:val="single" w:sz="8" w:space="0" w:color="287ABB" w:themeColor="accent5"/>
      </w:tblBorders>
    </w:tblPr>
    <w:tblStylePr w:type="firstRow">
      <w:rPr>
        <w:rFonts w:asciiTheme="majorHAnsi" w:eastAsiaTheme="majorEastAsia" w:hAnsiTheme="majorHAnsi" w:cstheme="majorBidi"/>
      </w:rPr>
      <w:tblPr/>
      <w:tcPr>
        <w:tcBorders>
          <w:top w:val="nil"/>
          <w:bottom w:val="single" w:sz="8" w:space="0" w:color="287ABB" w:themeColor="accent5"/>
        </w:tcBorders>
      </w:tcPr>
    </w:tblStylePr>
    <w:tblStylePr w:type="lastRow">
      <w:rPr>
        <w:b/>
        <w:bCs/>
        <w:color w:val="361C7F" w:themeColor="text2"/>
      </w:rPr>
      <w:tblPr/>
      <w:tcPr>
        <w:tcBorders>
          <w:top w:val="single" w:sz="8" w:space="0" w:color="287ABB" w:themeColor="accent5"/>
          <w:bottom w:val="single" w:sz="8" w:space="0" w:color="287ABB" w:themeColor="accent5"/>
        </w:tcBorders>
      </w:tcPr>
    </w:tblStylePr>
    <w:tblStylePr w:type="firstCol">
      <w:rPr>
        <w:b/>
        <w:bCs/>
      </w:rPr>
    </w:tblStylePr>
    <w:tblStylePr w:type="lastCol">
      <w:rPr>
        <w:b/>
        <w:bCs/>
      </w:rPr>
      <w:tblPr/>
      <w:tcPr>
        <w:tcBorders>
          <w:top w:val="single" w:sz="8" w:space="0" w:color="287ABB" w:themeColor="accent5"/>
          <w:bottom w:val="single" w:sz="8" w:space="0" w:color="287ABB" w:themeColor="accent5"/>
        </w:tcBorders>
      </w:tcPr>
    </w:tblStylePr>
    <w:tblStylePr w:type="band1Vert">
      <w:tblPr/>
      <w:tcPr>
        <w:shd w:val="clear" w:color="auto" w:fill="C5DEF2" w:themeFill="accent5" w:themeFillTint="3F"/>
      </w:tcPr>
    </w:tblStylePr>
    <w:tblStylePr w:type="band1Horz">
      <w:tblPr/>
      <w:tcPr>
        <w:shd w:val="clear" w:color="auto" w:fill="C5DEF2" w:themeFill="accent5" w:themeFillTint="3F"/>
      </w:tcPr>
    </w:tblStylePr>
  </w:style>
  <w:style w:type="table" w:styleId="MediumList1-Accent4">
    <w:name w:val="Medium List 1 Accent 4"/>
    <w:basedOn w:val="TableNormal"/>
    <w:uiPriority w:val="65"/>
    <w:rsid w:val="00633C07"/>
    <w:rPr>
      <w:color w:val="3F3F3F" w:themeColor="text1"/>
    </w:rPr>
    <w:tblPr>
      <w:tblStyleRowBandSize w:val="1"/>
      <w:tblStyleColBandSize w:val="1"/>
      <w:tblBorders>
        <w:top w:val="single" w:sz="8" w:space="0" w:color="C84F46" w:themeColor="accent4"/>
        <w:bottom w:val="single" w:sz="8" w:space="0" w:color="C84F46" w:themeColor="accent4"/>
      </w:tblBorders>
    </w:tblPr>
    <w:tblStylePr w:type="firstRow">
      <w:rPr>
        <w:rFonts w:asciiTheme="majorHAnsi" w:eastAsiaTheme="majorEastAsia" w:hAnsiTheme="majorHAnsi" w:cstheme="majorBidi"/>
      </w:rPr>
      <w:tblPr/>
      <w:tcPr>
        <w:tcBorders>
          <w:top w:val="nil"/>
          <w:bottom w:val="single" w:sz="8" w:space="0" w:color="C84F46" w:themeColor="accent4"/>
        </w:tcBorders>
      </w:tcPr>
    </w:tblStylePr>
    <w:tblStylePr w:type="lastRow">
      <w:rPr>
        <w:b/>
        <w:bCs/>
        <w:color w:val="361C7F" w:themeColor="text2"/>
      </w:rPr>
      <w:tblPr/>
      <w:tcPr>
        <w:tcBorders>
          <w:top w:val="single" w:sz="8" w:space="0" w:color="C84F46" w:themeColor="accent4"/>
          <w:bottom w:val="single" w:sz="8" w:space="0" w:color="C84F46" w:themeColor="accent4"/>
        </w:tcBorders>
      </w:tcPr>
    </w:tblStylePr>
    <w:tblStylePr w:type="firstCol">
      <w:rPr>
        <w:b/>
        <w:bCs/>
      </w:rPr>
    </w:tblStylePr>
    <w:tblStylePr w:type="lastCol">
      <w:rPr>
        <w:b/>
        <w:bCs/>
      </w:rPr>
      <w:tblPr/>
      <w:tcPr>
        <w:tcBorders>
          <w:top w:val="single" w:sz="8" w:space="0" w:color="C84F46" w:themeColor="accent4"/>
          <w:bottom w:val="single" w:sz="8" w:space="0" w:color="C84F46" w:themeColor="accent4"/>
        </w:tcBorders>
      </w:tcPr>
    </w:tblStylePr>
    <w:tblStylePr w:type="band1Vert">
      <w:tblPr/>
      <w:tcPr>
        <w:shd w:val="clear" w:color="auto" w:fill="F1D3D1" w:themeFill="accent4" w:themeFillTint="3F"/>
      </w:tcPr>
    </w:tblStylePr>
    <w:tblStylePr w:type="band1Horz">
      <w:tblPr/>
      <w:tcPr>
        <w:shd w:val="clear" w:color="auto" w:fill="F1D3D1" w:themeFill="accent4" w:themeFillTint="3F"/>
      </w:tcPr>
    </w:tblStylePr>
  </w:style>
  <w:style w:type="table" w:styleId="MediumList1-Accent3">
    <w:name w:val="Medium List 1 Accent 3"/>
    <w:basedOn w:val="TableNormal"/>
    <w:uiPriority w:val="65"/>
    <w:rsid w:val="00633C07"/>
    <w:rPr>
      <w:color w:val="3F3F3F"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361C7F"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2">
    <w:name w:val="Medium List 1 Accent 2"/>
    <w:basedOn w:val="TableNormal"/>
    <w:uiPriority w:val="65"/>
    <w:rsid w:val="00633C07"/>
    <w:rPr>
      <w:color w:val="3F3F3F" w:themeColor="text1"/>
    </w:rPr>
    <w:tblPr>
      <w:tblStyleRowBandSize w:val="1"/>
      <w:tblStyleColBandSize w:val="1"/>
      <w:tblBorders>
        <w:top w:val="single" w:sz="8" w:space="0" w:color="C49C51" w:themeColor="accent2"/>
        <w:bottom w:val="single" w:sz="8" w:space="0" w:color="C49C51" w:themeColor="accent2"/>
      </w:tblBorders>
    </w:tblPr>
    <w:tblStylePr w:type="firstRow">
      <w:rPr>
        <w:rFonts w:asciiTheme="majorHAnsi" w:eastAsiaTheme="majorEastAsia" w:hAnsiTheme="majorHAnsi" w:cstheme="majorBidi"/>
      </w:rPr>
      <w:tblPr/>
      <w:tcPr>
        <w:tcBorders>
          <w:top w:val="nil"/>
          <w:bottom w:val="single" w:sz="8" w:space="0" w:color="C49C51" w:themeColor="accent2"/>
        </w:tcBorders>
      </w:tcPr>
    </w:tblStylePr>
    <w:tblStylePr w:type="lastRow">
      <w:rPr>
        <w:b/>
        <w:bCs/>
        <w:color w:val="361C7F" w:themeColor="text2"/>
      </w:rPr>
      <w:tblPr/>
      <w:tcPr>
        <w:tcBorders>
          <w:top w:val="single" w:sz="8" w:space="0" w:color="C49C51" w:themeColor="accent2"/>
          <w:bottom w:val="single" w:sz="8" w:space="0" w:color="C49C51" w:themeColor="accent2"/>
        </w:tcBorders>
      </w:tcPr>
    </w:tblStylePr>
    <w:tblStylePr w:type="firstCol">
      <w:rPr>
        <w:b/>
        <w:bCs/>
      </w:rPr>
    </w:tblStylePr>
    <w:tblStylePr w:type="lastCol">
      <w:rPr>
        <w:b/>
        <w:bCs/>
      </w:rPr>
      <w:tblPr/>
      <w:tcPr>
        <w:tcBorders>
          <w:top w:val="single" w:sz="8" w:space="0" w:color="C49C51" w:themeColor="accent2"/>
          <w:bottom w:val="single" w:sz="8" w:space="0" w:color="C49C51" w:themeColor="accent2"/>
        </w:tcBorders>
      </w:tcPr>
    </w:tblStylePr>
    <w:tblStylePr w:type="band1Vert">
      <w:tblPr/>
      <w:tcPr>
        <w:shd w:val="clear" w:color="auto" w:fill="F0E6D3" w:themeFill="accent2" w:themeFillTint="3F"/>
      </w:tcPr>
    </w:tblStylePr>
    <w:tblStylePr w:type="band1Horz">
      <w:tblPr/>
      <w:tcPr>
        <w:shd w:val="clear" w:color="auto" w:fill="F0E6D3" w:themeFill="accent2" w:themeFillTint="3F"/>
      </w:tcPr>
    </w:tblStylePr>
  </w:style>
  <w:style w:type="table" w:styleId="MediumList1-Accent1">
    <w:name w:val="Medium List 1 Accent 1"/>
    <w:basedOn w:val="TableNormal"/>
    <w:uiPriority w:val="65"/>
    <w:rsid w:val="00633C07"/>
    <w:rPr>
      <w:color w:val="3F3F3F" w:themeColor="text1"/>
    </w:rPr>
    <w:tblPr>
      <w:tblStyleRowBandSize w:val="1"/>
      <w:tblStyleColBandSize w:val="1"/>
      <w:tblBorders>
        <w:top w:val="single" w:sz="8" w:space="0" w:color="361C7F" w:themeColor="accent1"/>
        <w:bottom w:val="single" w:sz="8" w:space="0" w:color="361C7F" w:themeColor="accent1"/>
      </w:tblBorders>
    </w:tblPr>
    <w:tblStylePr w:type="firstRow">
      <w:rPr>
        <w:rFonts w:asciiTheme="majorHAnsi" w:eastAsiaTheme="majorEastAsia" w:hAnsiTheme="majorHAnsi" w:cstheme="majorBidi"/>
      </w:rPr>
      <w:tblPr/>
      <w:tcPr>
        <w:tcBorders>
          <w:top w:val="nil"/>
          <w:bottom w:val="single" w:sz="8" w:space="0" w:color="361C7F" w:themeColor="accent1"/>
        </w:tcBorders>
      </w:tcPr>
    </w:tblStylePr>
    <w:tblStylePr w:type="lastRow">
      <w:rPr>
        <w:b/>
        <w:bCs/>
        <w:color w:val="361C7F" w:themeColor="text2"/>
      </w:rPr>
      <w:tblPr/>
      <w:tcPr>
        <w:tcBorders>
          <w:top w:val="single" w:sz="8" w:space="0" w:color="361C7F" w:themeColor="accent1"/>
          <w:bottom w:val="single" w:sz="8" w:space="0" w:color="361C7F" w:themeColor="accent1"/>
        </w:tcBorders>
      </w:tcPr>
    </w:tblStylePr>
    <w:tblStylePr w:type="firstCol">
      <w:rPr>
        <w:b/>
        <w:bCs/>
      </w:rPr>
    </w:tblStylePr>
    <w:tblStylePr w:type="lastCol">
      <w:rPr>
        <w:b/>
        <w:bCs/>
      </w:rPr>
      <w:tblPr/>
      <w:tcPr>
        <w:tcBorders>
          <w:top w:val="single" w:sz="8" w:space="0" w:color="361C7F" w:themeColor="accent1"/>
          <w:bottom w:val="single" w:sz="8" w:space="0" w:color="361C7F" w:themeColor="accent1"/>
        </w:tcBorders>
      </w:tcPr>
    </w:tblStylePr>
    <w:tblStylePr w:type="band1Vert">
      <w:tblPr/>
      <w:tcPr>
        <w:shd w:val="clear" w:color="auto" w:fill="C5B6EF" w:themeFill="accent1" w:themeFillTint="3F"/>
      </w:tcPr>
    </w:tblStylePr>
    <w:tblStylePr w:type="band1Horz">
      <w:tblPr/>
      <w:tcPr>
        <w:shd w:val="clear" w:color="auto" w:fill="C5B6EF" w:themeFill="accent1" w:themeFillTint="3F"/>
      </w:tcPr>
    </w:tblStylePr>
  </w:style>
  <w:style w:type="table" w:styleId="MediumShading1-Accent2">
    <w:name w:val="Medium Shading 1 Accent 2"/>
    <w:basedOn w:val="TableNormal"/>
    <w:uiPriority w:val="63"/>
    <w:rsid w:val="00633C07"/>
    <w:tblPr>
      <w:tblStyleRowBandSize w:val="1"/>
      <w:tblStyleColBandSize w:val="1"/>
      <w:tblBorders>
        <w:top w:val="single" w:sz="8" w:space="0" w:color="D2B47C" w:themeColor="accent2" w:themeTint="BF"/>
        <w:left w:val="single" w:sz="8" w:space="0" w:color="D2B47C" w:themeColor="accent2" w:themeTint="BF"/>
        <w:bottom w:val="single" w:sz="8" w:space="0" w:color="D2B47C" w:themeColor="accent2" w:themeTint="BF"/>
        <w:right w:val="single" w:sz="8" w:space="0" w:color="D2B47C" w:themeColor="accent2" w:themeTint="BF"/>
        <w:insideH w:val="single" w:sz="8" w:space="0" w:color="D2B47C" w:themeColor="accent2" w:themeTint="BF"/>
      </w:tblBorders>
    </w:tblPr>
    <w:tblStylePr w:type="firstRow">
      <w:pPr>
        <w:spacing w:before="0" w:after="0" w:line="240" w:lineRule="auto"/>
      </w:pPr>
      <w:rPr>
        <w:b/>
        <w:bCs/>
        <w:color w:val="FFFFFF" w:themeColor="background1"/>
      </w:rPr>
      <w:tblPr/>
      <w:tcPr>
        <w:tcBorders>
          <w:top w:val="single" w:sz="8" w:space="0" w:color="D2B47C" w:themeColor="accent2" w:themeTint="BF"/>
          <w:left w:val="single" w:sz="8" w:space="0" w:color="D2B47C" w:themeColor="accent2" w:themeTint="BF"/>
          <w:bottom w:val="single" w:sz="8" w:space="0" w:color="D2B47C" w:themeColor="accent2" w:themeTint="BF"/>
          <w:right w:val="single" w:sz="8" w:space="0" w:color="D2B47C" w:themeColor="accent2" w:themeTint="BF"/>
          <w:insideH w:val="nil"/>
          <w:insideV w:val="nil"/>
        </w:tcBorders>
        <w:shd w:val="clear" w:color="auto" w:fill="C49C51" w:themeFill="accent2"/>
      </w:tcPr>
    </w:tblStylePr>
    <w:tblStylePr w:type="lastRow">
      <w:pPr>
        <w:spacing w:before="0" w:after="0" w:line="240" w:lineRule="auto"/>
      </w:pPr>
      <w:rPr>
        <w:b/>
        <w:bCs/>
      </w:rPr>
      <w:tblPr/>
      <w:tcPr>
        <w:tcBorders>
          <w:top w:val="double" w:sz="6" w:space="0" w:color="D2B47C" w:themeColor="accent2" w:themeTint="BF"/>
          <w:left w:val="single" w:sz="8" w:space="0" w:color="D2B47C" w:themeColor="accent2" w:themeTint="BF"/>
          <w:bottom w:val="single" w:sz="8" w:space="0" w:color="D2B47C" w:themeColor="accent2" w:themeTint="BF"/>
          <w:right w:val="single" w:sz="8" w:space="0" w:color="D2B47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0E6D3" w:themeFill="accent2" w:themeFillTint="3F"/>
      </w:tcPr>
    </w:tblStylePr>
    <w:tblStylePr w:type="band1Horz">
      <w:tblPr/>
      <w:tcPr>
        <w:tcBorders>
          <w:insideH w:val="nil"/>
          <w:insideV w:val="nil"/>
        </w:tcBorders>
        <w:shd w:val="clear" w:color="auto" w:fill="F0E6D3"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33C07"/>
    <w:tblPr>
      <w:tblStyleRowBandSize w:val="1"/>
      <w:tblStyleColBandSize w:val="1"/>
      <w:tblBorders>
        <w:top w:val="single" w:sz="8" w:space="0" w:color="542CC7" w:themeColor="accent1" w:themeTint="BF"/>
        <w:left w:val="single" w:sz="8" w:space="0" w:color="542CC7" w:themeColor="accent1" w:themeTint="BF"/>
        <w:bottom w:val="single" w:sz="8" w:space="0" w:color="542CC7" w:themeColor="accent1" w:themeTint="BF"/>
        <w:right w:val="single" w:sz="8" w:space="0" w:color="542CC7" w:themeColor="accent1" w:themeTint="BF"/>
        <w:insideH w:val="single" w:sz="8" w:space="0" w:color="542CC7" w:themeColor="accent1" w:themeTint="BF"/>
      </w:tblBorders>
    </w:tblPr>
    <w:tblStylePr w:type="firstRow">
      <w:pPr>
        <w:spacing w:before="0" w:after="0" w:line="240" w:lineRule="auto"/>
      </w:pPr>
      <w:rPr>
        <w:b/>
        <w:bCs/>
        <w:color w:val="FFFFFF" w:themeColor="background1"/>
      </w:rPr>
      <w:tblPr/>
      <w:tcPr>
        <w:tcBorders>
          <w:top w:val="single" w:sz="8" w:space="0" w:color="542CC7" w:themeColor="accent1" w:themeTint="BF"/>
          <w:left w:val="single" w:sz="8" w:space="0" w:color="542CC7" w:themeColor="accent1" w:themeTint="BF"/>
          <w:bottom w:val="single" w:sz="8" w:space="0" w:color="542CC7" w:themeColor="accent1" w:themeTint="BF"/>
          <w:right w:val="single" w:sz="8" w:space="0" w:color="542CC7" w:themeColor="accent1" w:themeTint="BF"/>
          <w:insideH w:val="nil"/>
          <w:insideV w:val="nil"/>
        </w:tcBorders>
        <w:shd w:val="clear" w:color="auto" w:fill="361C7F" w:themeFill="accent1"/>
      </w:tcPr>
    </w:tblStylePr>
    <w:tblStylePr w:type="lastRow">
      <w:pPr>
        <w:spacing w:before="0" w:after="0" w:line="240" w:lineRule="auto"/>
      </w:pPr>
      <w:rPr>
        <w:b/>
        <w:bCs/>
      </w:rPr>
      <w:tblPr/>
      <w:tcPr>
        <w:tcBorders>
          <w:top w:val="double" w:sz="6" w:space="0" w:color="542CC7" w:themeColor="accent1" w:themeTint="BF"/>
          <w:left w:val="single" w:sz="8" w:space="0" w:color="542CC7" w:themeColor="accent1" w:themeTint="BF"/>
          <w:bottom w:val="single" w:sz="8" w:space="0" w:color="542CC7" w:themeColor="accent1" w:themeTint="BF"/>
          <w:right w:val="single" w:sz="8" w:space="0" w:color="542C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B6EF" w:themeFill="accent1" w:themeFillTint="3F"/>
      </w:tcPr>
    </w:tblStylePr>
    <w:tblStylePr w:type="band1Horz">
      <w:tblPr/>
      <w:tcPr>
        <w:tcBorders>
          <w:insideH w:val="nil"/>
          <w:insideV w:val="nil"/>
        </w:tcBorders>
        <w:shd w:val="clear" w:color="auto" w:fill="C5B6EF" w:themeFill="accent1" w:themeFillTint="3F"/>
      </w:tcPr>
    </w:tblStylePr>
    <w:tblStylePr w:type="band2Horz">
      <w:tblPr/>
      <w:tcPr>
        <w:tcBorders>
          <w:insideH w:val="nil"/>
          <w:insideV w:val="nil"/>
        </w:tcBorders>
      </w:tcPr>
    </w:tblStylePr>
  </w:style>
  <w:style w:type="character" w:styleId="PageNumber">
    <w:name w:val="page number"/>
    <w:basedOn w:val="DefaultParagraphFont"/>
    <w:uiPriority w:val="99"/>
    <w:semiHidden/>
    <w:unhideWhenUsed/>
    <w:rsid w:val="00F568BF"/>
  </w:style>
  <w:style w:type="table" w:styleId="MediumList1">
    <w:name w:val="Medium List 1"/>
    <w:basedOn w:val="TableNormal"/>
    <w:uiPriority w:val="65"/>
    <w:rsid w:val="00384AB7"/>
    <w:rPr>
      <w:color w:val="3F3F3F" w:themeColor="text1"/>
    </w:rPr>
    <w:tblPr>
      <w:tblStyleRowBandSize w:val="1"/>
      <w:tblStyleColBandSize w:val="1"/>
      <w:tblBorders>
        <w:top w:val="single" w:sz="8" w:space="0" w:color="3F3F3F" w:themeColor="text1"/>
        <w:bottom w:val="single" w:sz="8" w:space="0" w:color="3F3F3F" w:themeColor="text1"/>
      </w:tblBorders>
    </w:tblPr>
    <w:tblStylePr w:type="firstRow">
      <w:rPr>
        <w:rFonts w:asciiTheme="majorHAnsi" w:eastAsiaTheme="majorEastAsia" w:hAnsiTheme="majorHAnsi" w:cstheme="majorBidi"/>
      </w:rPr>
      <w:tblPr/>
      <w:tcPr>
        <w:tcBorders>
          <w:top w:val="nil"/>
          <w:bottom w:val="single" w:sz="8" w:space="0" w:color="3F3F3F" w:themeColor="text1"/>
        </w:tcBorders>
      </w:tcPr>
    </w:tblStylePr>
    <w:tblStylePr w:type="lastRow">
      <w:rPr>
        <w:b/>
        <w:bCs/>
        <w:color w:val="361C7F" w:themeColor="text2"/>
      </w:rPr>
      <w:tblPr/>
      <w:tcPr>
        <w:tcBorders>
          <w:top w:val="single" w:sz="8" w:space="0" w:color="3F3F3F" w:themeColor="text1"/>
          <w:bottom w:val="single" w:sz="8" w:space="0" w:color="3F3F3F" w:themeColor="text1"/>
        </w:tcBorders>
      </w:tcPr>
    </w:tblStylePr>
    <w:tblStylePr w:type="firstCol">
      <w:rPr>
        <w:b/>
        <w:bCs/>
      </w:rPr>
    </w:tblStylePr>
    <w:tblStylePr w:type="lastCol">
      <w:rPr>
        <w:b/>
        <w:bCs/>
      </w:rPr>
      <w:tblPr/>
      <w:tcPr>
        <w:tcBorders>
          <w:top w:val="single" w:sz="8" w:space="0" w:color="3F3F3F" w:themeColor="text1"/>
          <w:bottom w:val="single" w:sz="8" w:space="0" w:color="3F3F3F"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paragraph" w:customStyle="1" w:styleId="TableHeading2">
    <w:name w:val="Table Heading 2"/>
    <w:basedOn w:val="TABLEHEADING0"/>
    <w:qFormat/>
    <w:rsid w:val="00F21B2B"/>
    <w:rPr>
      <w:sz w:val="20"/>
    </w:rPr>
  </w:style>
  <w:style w:type="paragraph" w:customStyle="1" w:styleId="TABLEFIGTITLEHeading2">
    <w:name w:val="TABLE/FIG TITLE (Heading 2)"/>
    <w:qFormat/>
    <w:rsid w:val="00C31B4F"/>
    <w:pPr>
      <w:spacing w:before="240"/>
    </w:pPr>
    <w:rPr>
      <w:rFonts w:asciiTheme="majorHAnsi" w:eastAsia="MS Gothic" w:hAnsiTheme="majorHAnsi"/>
      <w:color w:val="361C7F" w:themeColor="accent1"/>
      <w:szCs w:val="32"/>
    </w:rPr>
  </w:style>
  <w:style w:type="paragraph" w:customStyle="1" w:styleId="PULLQUOTE2">
    <w:name w:val="PULL QUOTE 2"/>
    <w:basedOn w:val="Heading3"/>
    <w:rsid w:val="00FC3711"/>
    <w:pPr>
      <w:keepNext/>
      <w:keepLines/>
      <w:spacing w:before="200"/>
      <w:jc w:val="right"/>
    </w:pPr>
    <w:rPr>
      <w:color w:val="C84F46" w:themeColor="accent4"/>
    </w:rPr>
  </w:style>
  <w:style w:type="paragraph" w:customStyle="1" w:styleId="BOXHEADING">
    <w:name w:val="BOX HEADING"/>
    <w:qFormat/>
    <w:rsid w:val="00E756A1"/>
    <w:pPr>
      <w:spacing w:before="240" w:after="120"/>
    </w:pPr>
    <w:rPr>
      <w:rFonts w:asciiTheme="majorHAnsi" w:eastAsia="MS Gothic" w:hAnsiTheme="majorHAnsi"/>
      <w:bCs/>
      <w:color w:val="361C7F"/>
      <w:szCs w:val="26"/>
    </w:rPr>
  </w:style>
  <w:style w:type="paragraph" w:customStyle="1" w:styleId="Tabletext">
    <w:name w:val="Table text"/>
    <w:basedOn w:val="Normal"/>
    <w:qFormat/>
    <w:rsid w:val="00957297"/>
    <w:rPr>
      <w:color w:val="361C7F" w:themeColor="text2"/>
      <w:szCs w:val="20"/>
    </w:rPr>
  </w:style>
  <w:style w:type="paragraph" w:customStyle="1" w:styleId="Boxtext">
    <w:name w:val="Box text"/>
    <w:basedOn w:val="Normal"/>
    <w:qFormat/>
    <w:rsid w:val="001474E0"/>
    <w:rPr>
      <w:color w:val="361C7F" w:themeColor="text2"/>
      <w:szCs w:val="20"/>
    </w:rPr>
  </w:style>
  <w:style w:type="table" w:styleId="LightGrid-Accent3">
    <w:name w:val="Light Grid Accent 3"/>
    <w:basedOn w:val="TableNormal"/>
    <w:uiPriority w:val="62"/>
    <w:rsid w:val="00341B71"/>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rsid w:val="00341B71"/>
    <w:tblPr>
      <w:tblStyleRowBandSize w:val="1"/>
      <w:tblStyleColBandSize w:val="1"/>
      <w:tblBorders>
        <w:top w:val="single" w:sz="8" w:space="0" w:color="C84F46" w:themeColor="accent4"/>
        <w:left w:val="single" w:sz="8" w:space="0" w:color="C84F46" w:themeColor="accent4"/>
        <w:bottom w:val="single" w:sz="8" w:space="0" w:color="C84F46" w:themeColor="accent4"/>
        <w:right w:val="single" w:sz="8" w:space="0" w:color="C84F46" w:themeColor="accent4"/>
        <w:insideH w:val="single" w:sz="8" w:space="0" w:color="C84F46" w:themeColor="accent4"/>
        <w:insideV w:val="single" w:sz="8" w:space="0" w:color="C84F4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4F46" w:themeColor="accent4"/>
          <w:left w:val="single" w:sz="8" w:space="0" w:color="C84F46" w:themeColor="accent4"/>
          <w:bottom w:val="single" w:sz="18" w:space="0" w:color="C84F46" w:themeColor="accent4"/>
          <w:right w:val="single" w:sz="8" w:space="0" w:color="C84F46" w:themeColor="accent4"/>
          <w:insideH w:val="nil"/>
          <w:insideV w:val="single" w:sz="8" w:space="0" w:color="C84F4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4F46" w:themeColor="accent4"/>
          <w:left w:val="single" w:sz="8" w:space="0" w:color="C84F46" w:themeColor="accent4"/>
          <w:bottom w:val="single" w:sz="8" w:space="0" w:color="C84F46" w:themeColor="accent4"/>
          <w:right w:val="single" w:sz="8" w:space="0" w:color="C84F46" w:themeColor="accent4"/>
          <w:insideH w:val="nil"/>
          <w:insideV w:val="single" w:sz="8" w:space="0" w:color="C84F4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4F46" w:themeColor="accent4"/>
          <w:left w:val="single" w:sz="8" w:space="0" w:color="C84F46" w:themeColor="accent4"/>
          <w:bottom w:val="single" w:sz="8" w:space="0" w:color="C84F46" w:themeColor="accent4"/>
          <w:right w:val="single" w:sz="8" w:space="0" w:color="C84F46" w:themeColor="accent4"/>
        </w:tcBorders>
      </w:tcPr>
    </w:tblStylePr>
    <w:tblStylePr w:type="band1Vert">
      <w:tblPr/>
      <w:tcPr>
        <w:tcBorders>
          <w:top w:val="single" w:sz="8" w:space="0" w:color="C84F46" w:themeColor="accent4"/>
          <w:left w:val="single" w:sz="8" w:space="0" w:color="C84F46" w:themeColor="accent4"/>
          <w:bottom w:val="single" w:sz="8" w:space="0" w:color="C84F46" w:themeColor="accent4"/>
          <w:right w:val="single" w:sz="8" w:space="0" w:color="C84F46" w:themeColor="accent4"/>
        </w:tcBorders>
        <w:shd w:val="clear" w:color="auto" w:fill="F1D3D1" w:themeFill="accent4" w:themeFillTint="3F"/>
      </w:tcPr>
    </w:tblStylePr>
    <w:tblStylePr w:type="band1Horz">
      <w:tblPr/>
      <w:tcPr>
        <w:tcBorders>
          <w:top w:val="single" w:sz="8" w:space="0" w:color="C84F46" w:themeColor="accent4"/>
          <w:left w:val="single" w:sz="8" w:space="0" w:color="C84F46" w:themeColor="accent4"/>
          <w:bottom w:val="single" w:sz="8" w:space="0" w:color="C84F46" w:themeColor="accent4"/>
          <w:right w:val="single" w:sz="8" w:space="0" w:color="C84F46" w:themeColor="accent4"/>
          <w:insideV w:val="single" w:sz="8" w:space="0" w:color="C84F46" w:themeColor="accent4"/>
        </w:tcBorders>
        <w:shd w:val="clear" w:color="auto" w:fill="F1D3D1" w:themeFill="accent4" w:themeFillTint="3F"/>
      </w:tcPr>
    </w:tblStylePr>
    <w:tblStylePr w:type="band2Horz">
      <w:tblPr/>
      <w:tcPr>
        <w:tcBorders>
          <w:top w:val="single" w:sz="8" w:space="0" w:color="C84F46" w:themeColor="accent4"/>
          <w:left w:val="single" w:sz="8" w:space="0" w:color="C84F46" w:themeColor="accent4"/>
          <w:bottom w:val="single" w:sz="8" w:space="0" w:color="C84F46" w:themeColor="accent4"/>
          <w:right w:val="single" w:sz="8" w:space="0" w:color="C84F46" w:themeColor="accent4"/>
          <w:insideV w:val="single" w:sz="8" w:space="0" w:color="C84F46" w:themeColor="accent4"/>
        </w:tcBorders>
      </w:tcPr>
    </w:tblStylePr>
  </w:style>
  <w:style w:type="table" w:styleId="LightGrid-Accent5">
    <w:name w:val="Light Grid Accent 5"/>
    <w:basedOn w:val="TableNormal"/>
    <w:uiPriority w:val="62"/>
    <w:rsid w:val="00341B71"/>
    <w:tblPr>
      <w:tblStyleRowBandSize w:val="1"/>
      <w:tblStyleColBandSize w:val="1"/>
      <w:tblBorders>
        <w:top w:val="single" w:sz="8" w:space="0" w:color="287ABB" w:themeColor="accent5"/>
        <w:left w:val="single" w:sz="8" w:space="0" w:color="287ABB" w:themeColor="accent5"/>
        <w:bottom w:val="single" w:sz="8" w:space="0" w:color="287ABB" w:themeColor="accent5"/>
        <w:right w:val="single" w:sz="8" w:space="0" w:color="287ABB" w:themeColor="accent5"/>
        <w:insideH w:val="single" w:sz="8" w:space="0" w:color="287ABB" w:themeColor="accent5"/>
        <w:insideV w:val="single" w:sz="8" w:space="0" w:color="287AB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7ABB" w:themeColor="accent5"/>
          <w:left w:val="single" w:sz="8" w:space="0" w:color="287ABB" w:themeColor="accent5"/>
          <w:bottom w:val="single" w:sz="18" w:space="0" w:color="287ABB" w:themeColor="accent5"/>
          <w:right w:val="single" w:sz="8" w:space="0" w:color="287ABB" w:themeColor="accent5"/>
          <w:insideH w:val="nil"/>
          <w:insideV w:val="single" w:sz="8" w:space="0" w:color="287AB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7ABB" w:themeColor="accent5"/>
          <w:left w:val="single" w:sz="8" w:space="0" w:color="287ABB" w:themeColor="accent5"/>
          <w:bottom w:val="single" w:sz="8" w:space="0" w:color="287ABB" w:themeColor="accent5"/>
          <w:right w:val="single" w:sz="8" w:space="0" w:color="287ABB" w:themeColor="accent5"/>
          <w:insideH w:val="nil"/>
          <w:insideV w:val="single" w:sz="8" w:space="0" w:color="287AB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7ABB" w:themeColor="accent5"/>
          <w:left w:val="single" w:sz="8" w:space="0" w:color="287ABB" w:themeColor="accent5"/>
          <w:bottom w:val="single" w:sz="8" w:space="0" w:color="287ABB" w:themeColor="accent5"/>
          <w:right w:val="single" w:sz="8" w:space="0" w:color="287ABB" w:themeColor="accent5"/>
        </w:tcBorders>
      </w:tcPr>
    </w:tblStylePr>
    <w:tblStylePr w:type="band1Vert">
      <w:tblPr/>
      <w:tcPr>
        <w:tcBorders>
          <w:top w:val="single" w:sz="8" w:space="0" w:color="287ABB" w:themeColor="accent5"/>
          <w:left w:val="single" w:sz="8" w:space="0" w:color="287ABB" w:themeColor="accent5"/>
          <w:bottom w:val="single" w:sz="8" w:space="0" w:color="287ABB" w:themeColor="accent5"/>
          <w:right w:val="single" w:sz="8" w:space="0" w:color="287ABB" w:themeColor="accent5"/>
        </w:tcBorders>
        <w:shd w:val="clear" w:color="auto" w:fill="C5DEF2" w:themeFill="accent5" w:themeFillTint="3F"/>
      </w:tcPr>
    </w:tblStylePr>
    <w:tblStylePr w:type="band1Horz">
      <w:tblPr/>
      <w:tcPr>
        <w:tcBorders>
          <w:top w:val="single" w:sz="8" w:space="0" w:color="287ABB" w:themeColor="accent5"/>
          <w:left w:val="single" w:sz="8" w:space="0" w:color="287ABB" w:themeColor="accent5"/>
          <w:bottom w:val="single" w:sz="8" w:space="0" w:color="287ABB" w:themeColor="accent5"/>
          <w:right w:val="single" w:sz="8" w:space="0" w:color="287ABB" w:themeColor="accent5"/>
          <w:insideV w:val="single" w:sz="8" w:space="0" w:color="287ABB" w:themeColor="accent5"/>
        </w:tcBorders>
        <w:shd w:val="clear" w:color="auto" w:fill="C5DEF2" w:themeFill="accent5" w:themeFillTint="3F"/>
      </w:tcPr>
    </w:tblStylePr>
    <w:tblStylePr w:type="band2Horz">
      <w:tblPr/>
      <w:tcPr>
        <w:tcBorders>
          <w:top w:val="single" w:sz="8" w:space="0" w:color="287ABB" w:themeColor="accent5"/>
          <w:left w:val="single" w:sz="8" w:space="0" w:color="287ABB" w:themeColor="accent5"/>
          <w:bottom w:val="single" w:sz="8" w:space="0" w:color="287ABB" w:themeColor="accent5"/>
          <w:right w:val="single" w:sz="8" w:space="0" w:color="287ABB" w:themeColor="accent5"/>
          <w:insideV w:val="single" w:sz="8" w:space="0" w:color="287ABB" w:themeColor="accent5"/>
        </w:tcBorders>
      </w:tcPr>
    </w:tblStylePr>
  </w:style>
  <w:style w:type="table" w:styleId="LightGrid-Accent6">
    <w:name w:val="Light Grid Accent 6"/>
    <w:basedOn w:val="TableNormal"/>
    <w:uiPriority w:val="62"/>
    <w:rsid w:val="00341B71"/>
    <w:tblPr>
      <w:tblStyleRowBandSize w:val="1"/>
      <w:tblStyleColBandSize w:val="1"/>
      <w:tblBorders>
        <w:top w:val="single" w:sz="8" w:space="0" w:color="8C8C8C" w:themeColor="accent6"/>
        <w:left w:val="single" w:sz="8" w:space="0" w:color="8C8C8C" w:themeColor="accent6"/>
        <w:bottom w:val="single" w:sz="8" w:space="0" w:color="8C8C8C" w:themeColor="accent6"/>
        <w:right w:val="single" w:sz="8" w:space="0" w:color="8C8C8C" w:themeColor="accent6"/>
        <w:insideH w:val="single" w:sz="8" w:space="0" w:color="8C8C8C" w:themeColor="accent6"/>
        <w:insideV w:val="single" w:sz="8" w:space="0" w:color="8C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8C8C" w:themeColor="accent6"/>
          <w:left w:val="single" w:sz="8" w:space="0" w:color="8C8C8C" w:themeColor="accent6"/>
          <w:bottom w:val="single" w:sz="18" w:space="0" w:color="8C8C8C" w:themeColor="accent6"/>
          <w:right w:val="single" w:sz="8" w:space="0" w:color="8C8C8C" w:themeColor="accent6"/>
          <w:insideH w:val="nil"/>
          <w:insideV w:val="single" w:sz="8" w:space="0" w:color="8C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8C8C" w:themeColor="accent6"/>
          <w:left w:val="single" w:sz="8" w:space="0" w:color="8C8C8C" w:themeColor="accent6"/>
          <w:bottom w:val="single" w:sz="8" w:space="0" w:color="8C8C8C" w:themeColor="accent6"/>
          <w:right w:val="single" w:sz="8" w:space="0" w:color="8C8C8C" w:themeColor="accent6"/>
          <w:insideH w:val="nil"/>
          <w:insideV w:val="single" w:sz="8" w:space="0" w:color="8C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8C8C" w:themeColor="accent6"/>
          <w:left w:val="single" w:sz="8" w:space="0" w:color="8C8C8C" w:themeColor="accent6"/>
          <w:bottom w:val="single" w:sz="8" w:space="0" w:color="8C8C8C" w:themeColor="accent6"/>
          <w:right w:val="single" w:sz="8" w:space="0" w:color="8C8C8C" w:themeColor="accent6"/>
        </w:tcBorders>
      </w:tcPr>
    </w:tblStylePr>
    <w:tblStylePr w:type="band1Vert">
      <w:tblPr/>
      <w:tcPr>
        <w:tcBorders>
          <w:top w:val="single" w:sz="8" w:space="0" w:color="8C8C8C" w:themeColor="accent6"/>
          <w:left w:val="single" w:sz="8" w:space="0" w:color="8C8C8C" w:themeColor="accent6"/>
          <w:bottom w:val="single" w:sz="8" w:space="0" w:color="8C8C8C" w:themeColor="accent6"/>
          <w:right w:val="single" w:sz="8" w:space="0" w:color="8C8C8C" w:themeColor="accent6"/>
        </w:tcBorders>
        <w:shd w:val="clear" w:color="auto" w:fill="E2E2E2" w:themeFill="accent6" w:themeFillTint="3F"/>
      </w:tcPr>
    </w:tblStylePr>
    <w:tblStylePr w:type="band1Horz">
      <w:tblPr/>
      <w:tcPr>
        <w:tcBorders>
          <w:top w:val="single" w:sz="8" w:space="0" w:color="8C8C8C" w:themeColor="accent6"/>
          <w:left w:val="single" w:sz="8" w:space="0" w:color="8C8C8C" w:themeColor="accent6"/>
          <w:bottom w:val="single" w:sz="8" w:space="0" w:color="8C8C8C" w:themeColor="accent6"/>
          <w:right w:val="single" w:sz="8" w:space="0" w:color="8C8C8C" w:themeColor="accent6"/>
          <w:insideV w:val="single" w:sz="8" w:space="0" w:color="8C8C8C" w:themeColor="accent6"/>
        </w:tcBorders>
        <w:shd w:val="clear" w:color="auto" w:fill="E2E2E2" w:themeFill="accent6" w:themeFillTint="3F"/>
      </w:tcPr>
    </w:tblStylePr>
    <w:tblStylePr w:type="band2Horz">
      <w:tblPr/>
      <w:tcPr>
        <w:tcBorders>
          <w:top w:val="single" w:sz="8" w:space="0" w:color="8C8C8C" w:themeColor="accent6"/>
          <w:left w:val="single" w:sz="8" w:space="0" w:color="8C8C8C" w:themeColor="accent6"/>
          <w:bottom w:val="single" w:sz="8" w:space="0" w:color="8C8C8C" w:themeColor="accent6"/>
          <w:right w:val="single" w:sz="8" w:space="0" w:color="8C8C8C" w:themeColor="accent6"/>
          <w:insideV w:val="single" w:sz="8" w:space="0" w:color="8C8C8C" w:themeColor="accent6"/>
        </w:tcBorders>
      </w:tcPr>
    </w:tblStylePr>
  </w:style>
  <w:style w:type="table" w:styleId="MediumShading1">
    <w:name w:val="Medium Shading 1"/>
    <w:basedOn w:val="TableNormal"/>
    <w:uiPriority w:val="63"/>
    <w:rsid w:val="00341B71"/>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3F3F3F"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474E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D9D9D9" w:themeFill="background1" w:themeFillShade="D9"/>
    </w:tc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b/>
        <w:bCs/>
      </w:rPr>
      <w:tblPr/>
      <w:tcPr>
        <w:tcBorders>
          <w:top w:val="double" w:sz="6" w:space="0" w:color="A8A8A8" w:themeColor="accent6" w:themeTint="BF"/>
          <w:left w:val="single" w:sz="8" w:space="0" w:color="A8A8A8" w:themeColor="accent6" w:themeTint="BF"/>
          <w:bottom w:val="single" w:sz="8" w:space="0" w:color="A8A8A8" w:themeColor="accent6" w:themeTint="BF"/>
          <w:right w:val="single" w:sz="8" w:space="0" w:color="A8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E2E2" w:themeFill="accent6" w:themeFillTint="3F"/>
      </w:tcPr>
    </w:tblStylePr>
    <w:tblStylePr w:type="band1Horz">
      <w:tblPr/>
      <w:tcPr>
        <w:tcBorders>
          <w:insideH w:val="nil"/>
          <w:insideV w:val="nil"/>
        </w:tcBorders>
        <w:shd w:val="clear" w:color="auto" w:fill="E2E2E2" w:themeFill="accent6" w:themeFillTint="3F"/>
      </w:tcPr>
    </w:tblStylePr>
    <w:tblStylePr w:type="band2Horz">
      <w:tblPr/>
      <w:tcPr>
        <w:tcBorders>
          <w:insideH w:val="nil"/>
          <w:insideV w:val="nil"/>
        </w:tcBorders>
      </w:tcPr>
    </w:tblStylePr>
  </w:style>
  <w:style w:type="character" w:styleId="Emphasis">
    <w:name w:val="Emphasis"/>
    <w:basedOn w:val="DefaultParagraphFont"/>
    <w:uiPriority w:val="20"/>
    <w:rsid w:val="005D33BC"/>
    <w:rPr>
      <w:i/>
      <w:iCs/>
    </w:rPr>
  </w:style>
  <w:style w:type="paragraph" w:styleId="TOC1">
    <w:name w:val="toc 1"/>
    <w:basedOn w:val="Normal"/>
    <w:next w:val="Normal"/>
    <w:autoRedefine/>
    <w:uiPriority w:val="39"/>
    <w:unhideWhenUsed/>
    <w:rsid w:val="00527DD5"/>
    <w:pPr>
      <w:tabs>
        <w:tab w:val="right" w:leader="underscore" w:pos="10188"/>
      </w:tabs>
      <w:spacing w:after="120"/>
    </w:pPr>
    <w:rPr>
      <w:color w:val="361C7F" w:themeColor="text2"/>
      <w:sz w:val="28"/>
      <w:szCs w:val="24"/>
    </w:rPr>
  </w:style>
  <w:style w:type="paragraph" w:styleId="TOC2">
    <w:name w:val="toc 2"/>
    <w:basedOn w:val="Normal"/>
    <w:next w:val="Normal"/>
    <w:autoRedefine/>
    <w:uiPriority w:val="39"/>
    <w:unhideWhenUsed/>
    <w:rsid w:val="004F4AF2"/>
    <w:pPr>
      <w:tabs>
        <w:tab w:val="right" w:leader="underscore" w:pos="10188"/>
      </w:tabs>
      <w:spacing w:after="120"/>
      <w:ind w:left="221"/>
    </w:pPr>
    <w:rPr>
      <w:noProof/>
      <w:color w:val="361C7F" w:themeColor="text2"/>
      <w:sz w:val="24"/>
      <w:szCs w:val="24"/>
    </w:rPr>
  </w:style>
  <w:style w:type="paragraph" w:styleId="TOC3">
    <w:name w:val="toc 3"/>
    <w:basedOn w:val="Normal"/>
    <w:next w:val="Normal"/>
    <w:autoRedefine/>
    <w:uiPriority w:val="39"/>
    <w:unhideWhenUsed/>
    <w:rsid w:val="00B204DF"/>
    <w:pPr>
      <w:spacing w:after="120"/>
      <w:ind w:left="442"/>
    </w:pPr>
    <w:rPr>
      <w:color w:val="361C7F" w:themeColor="text2"/>
    </w:rPr>
  </w:style>
  <w:style w:type="paragraph" w:styleId="TOC4">
    <w:name w:val="toc 4"/>
    <w:basedOn w:val="Normal"/>
    <w:next w:val="Normal"/>
    <w:autoRedefine/>
    <w:uiPriority w:val="39"/>
    <w:unhideWhenUsed/>
    <w:rsid w:val="008C6082"/>
    <w:pPr>
      <w:ind w:left="660"/>
    </w:pPr>
  </w:style>
  <w:style w:type="paragraph" w:styleId="TOC5">
    <w:name w:val="toc 5"/>
    <w:basedOn w:val="Normal"/>
    <w:next w:val="Normal"/>
    <w:autoRedefine/>
    <w:uiPriority w:val="39"/>
    <w:unhideWhenUsed/>
    <w:rsid w:val="008C6082"/>
    <w:pPr>
      <w:ind w:left="880"/>
    </w:pPr>
  </w:style>
  <w:style w:type="paragraph" w:styleId="TOC6">
    <w:name w:val="toc 6"/>
    <w:basedOn w:val="Normal"/>
    <w:next w:val="Normal"/>
    <w:autoRedefine/>
    <w:uiPriority w:val="39"/>
    <w:unhideWhenUsed/>
    <w:rsid w:val="008C6082"/>
    <w:pPr>
      <w:ind w:left="1100"/>
    </w:pPr>
  </w:style>
  <w:style w:type="paragraph" w:styleId="TOC7">
    <w:name w:val="toc 7"/>
    <w:basedOn w:val="Normal"/>
    <w:next w:val="Normal"/>
    <w:autoRedefine/>
    <w:uiPriority w:val="39"/>
    <w:unhideWhenUsed/>
    <w:rsid w:val="008C6082"/>
    <w:pPr>
      <w:ind w:left="1320"/>
    </w:pPr>
  </w:style>
  <w:style w:type="paragraph" w:styleId="TOC8">
    <w:name w:val="toc 8"/>
    <w:basedOn w:val="Normal"/>
    <w:next w:val="Normal"/>
    <w:autoRedefine/>
    <w:uiPriority w:val="39"/>
    <w:unhideWhenUsed/>
    <w:rsid w:val="008C6082"/>
    <w:pPr>
      <w:ind w:left="1540"/>
    </w:pPr>
  </w:style>
  <w:style w:type="paragraph" w:styleId="TOC9">
    <w:name w:val="toc 9"/>
    <w:basedOn w:val="Normal"/>
    <w:next w:val="Normal"/>
    <w:autoRedefine/>
    <w:uiPriority w:val="39"/>
    <w:unhideWhenUsed/>
    <w:rsid w:val="008C6082"/>
    <w:pPr>
      <w:ind w:left="1760"/>
    </w:pPr>
  </w:style>
  <w:style w:type="paragraph" w:styleId="Bibliography">
    <w:name w:val="Bibliography"/>
    <w:basedOn w:val="Normal"/>
    <w:next w:val="Normal"/>
    <w:uiPriority w:val="37"/>
    <w:unhideWhenUsed/>
    <w:rsid w:val="004B1EC3"/>
    <w:pPr>
      <w:spacing w:after="120"/>
    </w:pPr>
    <w:rPr>
      <w:color w:val="361C7F" w:themeColor="text2"/>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Colorful List - Accent 11 Char,Bullet 1 Char"/>
    <w:basedOn w:val="DefaultParagraphFont"/>
    <w:link w:val="ListParagraph"/>
    <w:uiPriority w:val="34"/>
    <w:locked/>
    <w:rsid w:val="009A5610"/>
    <w:rPr>
      <w:rFonts w:asciiTheme="minorHAnsi" w:hAnsiTheme="minorHAnsi"/>
      <w:color w:val="3F3F3F" w:themeColor="text1"/>
      <w:sz w:val="20"/>
      <w:szCs w:val="20"/>
    </w:rPr>
  </w:style>
  <w:style w:type="paragraph" w:customStyle="1" w:styleId="FigureHeading">
    <w:name w:val="Figure Heading"/>
    <w:basedOn w:val="Heading3"/>
    <w:next w:val="BodyText"/>
    <w:qFormat/>
    <w:rsid w:val="004319D3"/>
    <w:pPr>
      <w:numPr>
        <w:numId w:val="1"/>
      </w:numPr>
      <w:spacing w:before="250" w:after="40"/>
    </w:pPr>
    <w:rPr>
      <w:rFonts w:ascii="Arial" w:eastAsia="Calibri" w:hAnsi="Arial"/>
      <w:color w:val="361C7F" w:themeColor="accent1"/>
    </w:rPr>
  </w:style>
  <w:style w:type="paragraph" w:styleId="BodyText">
    <w:name w:val="Body Text"/>
    <w:basedOn w:val="Normal"/>
    <w:link w:val="BodyTextChar"/>
    <w:uiPriority w:val="99"/>
    <w:unhideWhenUsed/>
    <w:rsid w:val="00A05E95"/>
    <w:pPr>
      <w:spacing w:after="120"/>
    </w:pPr>
  </w:style>
  <w:style w:type="character" w:customStyle="1" w:styleId="BodyTextChar">
    <w:name w:val="Body Text Char"/>
    <w:basedOn w:val="DefaultParagraphFont"/>
    <w:link w:val="BodyText"/>
    <w:uiPriority w:val="99"/>
    <w:rsid w:val="00A05E95"/>
    <w:rPr>
      <w:rFonts w:asciiTheme="minorHAnsi" w:hAnsiTheme="minorHAnsi"/>
      <w:color w:val="3F3F3F" w:themeColor="text1"/>
      <w:sz w:val="22"/>
      <w:szCs w:val="22"/>
    </w:rPr>
  </w:style>
  <w:style w:type="paragraph" w:customStyle="1" w:styleId="TableHeading">
    <w:name w:val="Table Heading"/>
    <w:basedOn w:val="Normal"/>
    <w:next w:val="BodyText"/>
    <w:rsid w:val="003002B0"/>
    <w:pPr>
      <w:keepNext/>
      <w:numPr>
        <w:numId w:val="2"/>
      </w:numPr>
      <w:spacing w:before="250" w:after="60"/>
    </w:pPr>
    <w:rPr>
      <w:rFonts w:ascii="Arial" w:eastAsia="Calibri" w:hAnsi="Arial"/>
      <w:b/>
      <w:color w:val="361C7F" w:themeColor="accent1"/>
    </w:rPr>
  </w:style>
  <w:style w:type="paragraph" w:customStyle="1" w:styleId="EndNoteBibliography">
    <w:name w:val="EndNote Bibliography"/>
    <w:basedOn w:val="Normal"/>
    <w:link w:val="EndNoteBibliographyChar"/>
    <w:rsid w:val="00F325F8"/>
    <w:rPr>
      <w:rFonts w:ascii="Arial" w:eastAsia="Calibri" w:hAnsi="Arial" w:cs="Arial"/>
      <w:noProof/>
      <w:szCs w:val="16"/>
      <w:lang w:val="en-US"/>
    </w:rPr>
  </w:style>
  <w:style w:type="character" w:customStyle="1" w:styleId="EndNoteBibliographyChar">
    <w:name w:val="EndNote Bibliography Char"/>
    <w:basedOn w:val="DefaultParagraphFont"/>
    <w:link w:val="EndNoteBibliography"/>
    <w:rsid w:val="00F325F8"/>
    <w:rPr>
      <w:rFonts w:ascii="Arial" w:eastAsia="Calibri" w:hAnsi="Arial" w:cs="Arial"/>
      <w:noProof/>
      <w:color w:val="3F3F3F" w:themeColor="text1"/>
      <w:sz w:val="22"/>
      <w:szCs w:val="16"/>
      <w:lang w:val="en-US"/>
    </w:rPr>
  </w:style>
  <w:style w:type="character" w:styleId="CommentReference">
    <w:name w:val="annotation reference"/>
    <w:basedOn w:val="DefaultParagraphFont"/>
    <w:uiPriority w:val="99"/>
    <w:semiHidden/>
    <w:unhideWhenUsed/>
    <w:rsid w:val="00D26D5F"/>
    <w:rPr>
      <w:sz w:val="18"/>
      <w:szCs w:val="18"/>
    </w:rPr>
  </w:style>
  <w:style w:type="paragraph" w:styleId="CommentText">
    <w:name w:val="annotation text"/>
    <w:basedOn w:val="Normal"/>
    <w:link w:val="CommentTextChar"/>
    <w:uiPriority w:val="99"/>
    <w:unhideWhenUsed/>
    <w:rsid w:val="00D26D5F"/>
    <w:rPr>
      <w:sz w:val="24"/>
      <w:szCs w:val="24"/>
    </w:rPr>
  </w:style>
  <w:style w:type="character" w:customStyle="1" w:styleId="CommentTextChar">
    <w:name w:val="Comment Text Char"/>
    <w:basedOn w:val="DefaultParagraphFont"/>
    <w:link w:val="CommentText"/>
    <w:uiPriority w:val="99"/>
    <w:rsid w:val="00D26D5F"/>
    <w:rPr>
      <w:rFonts w:asciiTheme="minorHAnsi" w:hAnsiTheme="minorHAnsi"/>
      <w:color w:val="3F3F3F" w:themeColor="text1"/>
      <w:sz w:val="24"/>
      <w:szCs w:val="24"/>
    </w:rPr>
  </w:style>
  <w:style w:type="paragraph" w:styleId="CommentSubject">
    <w:name w:val="annotation subject"/>
    <w:basedOn w:val="CommentText"/>
    <w:next w:val="CommentText"/>
    <w:link w:val="CommentSubjectChar"/>
    <w:uiPriority w:val="99"/>
    <w:semiHidden/>
    <w:unhideWhenUsed/>
    <w:rsid w:val="00D26D5F"/>
    <w:rPr>
      <w:b/>
      <w:bCs/>
      <w:sz w:val="20"/>
      <w:szCs w:val="20"/>
    </w:rPr>
  </w:style>
  <w:style w:type="character" w:customStyle="1" w:styleId="CommentSubjectChar">
    <w:name w:val="Comment Subject Char"/>
    <w:basedOn w:val="CommentTextChar"/>
    <w:link w:val="CommentSubject"/>
    <w:uiPriority w:val="99"/>
    <w:semiHidden/>
    <w:rsid w:val="00D26D5F"/>
    <w:rPr>
      <w:rFonts w:asciiTheme="minorHAnsi" w:hAnsiTheme="minorHAnsi"/>
      <w:b/>
      <w:bCs/>
      <w:color w:val="3F3F3F" w:themeColor="text1"/>
      <w:sz w:val="24"/>
      <w:szCs w:val="24"/>
    </w:rPr>
  </w:style>
  <w:style w:type="table" w:customStyle="1" w:styleId="MediumShading1-Accent61">
    <w:name w:val="Medium Shading 1 - Accent 61"/>
    <w:basedOn w:val="TableNormal"/>
    <w:next w:val="MediumShading1-Accent6"/>
    <w:uiPriority w:val="63"/>
    <w:rsid w:val="004319D3"/>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D9D9D9" w:themeFill="background1" w:themeFillShade="D9"/>
    </w:tc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b/>
        <w:bCs/>
      </w:rPr>
      <w:tblPr/>
      <w:tcPr>
        <w:tcBorders>
          <w:top w:val="double" w:sz="6" w:space="0" w:color="A8A8A8" w:themeColor="accent6" w:themeTint="BF"/>
          <w:left w:val="single" w:sz="8" w:space="0" w:color="A8A8A8" w:themeColor="accent6" w:themeTint="BF"/>
          <w:bottom w:val="single" w:sz="8" w:space="0" w:color="A8A8A8" w:themeColor="accent6" w:themeTint="BF"/>
          <w:right w:val="single" w:sz="8" w:space="0" w:color="A8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E2E2" w:themeFill="accent6" w:themeFillTint="3F"/>
      </w:tcPr>
    </w:tblStylePr>
    <w:tblStylePr w:type="band1Horz">
      <w:tblPr/>
      <w:tcPr>
        <w:tcBorders>
          <w:insideH w:val="nil"/>
          <w:insideV w:val="nil"/>
        </w:tcBorders>
        <w:shd w:val="clear" w:color="auto" w:fill="E2E2E2" w:themeFill="accent6" w:themeFillTint="3F"/>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rsid w:val="0089152F"/>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D9D9D9" w:themeFill="background1" w:themeFillShade="D9"/>
    </w:tc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b/>
        <w:bCs/>
      </w:rPr>
      <w:tblPr/>
      <w:tcPr>
        <w:tcBorders>
          <w:top w:val="double" w:sz="6" w:space="0" w:color="A8A8A8" w:themeColor="accent6" w:themeTint="BF"/>
          <w:left w:val="single" w:sz="8" w:space="0" w:color="A8A8A8" w:themeColor="accent6" w:themeTint="BF"/>
          <w:bottom w:val="single" w:sz="8" w:space="0" w:color="A8A8A8" w:themeColor="accent6" w:themeTint="BF"/>
          <w:right w:val="single" w:sz="8" w:space="0" w:color="A8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E2E2" w:themeFill="accent6" w:themeFillTint="3F"/>
      </w:tcPr>
    </w:tblStylePr>
    <w:tblStylePr w:type="band1Horz">
      <w:tblPr/>
      <w:tcPr>
        <w:tcBorders>
          <w:insideH w:val="nil"/>
          <w:insideV w:val="nil"/>
        </w:tcBorders>
        <w:shd w:val="clear" w:color="auto" w:fill="E2E2E2" w:themeFill="accent6" w:themeFillTint="3F"/>
      </w:tcPr>
    </w:tblStylePr>
    <w:tblStylePr w:type="band2Horz">
      <w:tblPr/>
      <w:tcPr>
        <w:tcBorders>
          <w:insideH w:val="nil"/>
          <w:insideV w:val="nil"/>
        </w:tcBorders>
      </w:tcPr>
    </w:tblStylePr>
  </w:style>
  <w:style w:type="character" w:customStyle="1" w:styleId="hps">
    <w:name w:val="hps"/>
    <w:basedOn w:val="DefaultParagraphFont"/>
    <w:rsid w:val="00A54524"/>
  </w:style>
  <w:style w:type="paragraph" w:customStyle="1" w:styleId="TABLEFIGBOXTITLEHeading3">
    <w:name w:val="TABLE/FIG/BOX TITLE (Heading 3)"/>
    <w:qFormat/>
    <w:rsid w:val="00A46100"/>
    <w:pPr>
      <w:spacing w:before="240" w:after="120"/>
    </w:pPr>
    <w:rPr>
      <w:rFonts w:asciiTheme="majorHAnsi" w:eastAsia="MS Gothic" w:hAnsiTheme="majorHAnsi"/>
      <w:color w:val="361C7F" w:themeColor="accent1"/>
      <w:szCs w:val="32"/>
    </w:rPr>
  </w:style>
  <w:style w:type="character" w:styleId="FollowedHyperlink">
    <w:name w:val="FollowedHyperlink"/>
    <w:basedOn w:val="DefaultParagraphFont"/>
    <w:uiPriority w:val="99"/>
    <w:semiHidden/>
    <w:unhideWhenUsed/>
    <w:rsid w:val="00A7035A"/>
    <w:rPr>
      <w:color w:val="007A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40250">
      <w:bodyDiv w:val="1"/>
      <w:marLeft w:val="0"/>
      <w:marRight w:val="0"/>
      <w:marTop w:val="0"/>
      <w:marBottom w:val="0"/>
      <w:divBdr>
        <w:top w:val="none" w:sz="0" w:space="0" w:color="auto"/>
        <w:left w:val="none" w:sz="0" w:space="0" w:color="auto"/>
        <w:bottom w:val="none" w:sz="0" w:space="0" w:color="auto"/>
        <w:right w:val="none" w:sz="0" w:space="0" w:color="auto"/>
      </w:divBdr>
    </w:div>
    <w:div w:id="91821750">
      <w:bodyDiv w:val="1"/>
      <w:marLeft w:val="0"/>
      <w:marRight w:val="0"/>
      <w:marTop w:val="0"/>
      <w:marBottom w:val="0"/>
      <w:divBdr>
        <w:top w:val="none" w:sz="0" w:space="0" w:color="auto"/>
        <w:left w:val="none" w:sz="0" w:space="0" w:color="auto"/>
        <w:bottom w:val="none" w:sz="0" w:space="0" w:color="auto"/>
        <w:right w:val="none" w:sz="0" w:space="0" w:color="auto"/>
      </w:divBdr>
    </w:div>
    <w:div w:id="164326478">
      <w:bodyDiv w:val="1"/>
      <w:marLeft w:val="0"/>
      <w:marRight w:val="0"/>
      <w:marTop w:val="0"/>
      <w:marBottom w:val="0"/>
      <w:divBdr>
        <w:top w:val="none" w:sz="0" w:space="0" w:color="auto"/>
        <w:left w:val="none" w:sz="0" w:space="0" w:color="auto"/>
        <w:bottom w:val="none" w:sz="0" w:space="0" w:color="auto"/>
        <w:right w:val="none" w:sz="0" w:space="0" w:color="auto"/>
      </w:divBdr>
    </w:div>
    <w:div w:id="221211642">
      <w:bodyDiv w:val="1"/>
      <w:marLeft w:val="0"/>
      <w:marRight w:val="0"/>
      <w:marTop w:val="0"/>
      <w:marBottom w:val="0"/>
      <w:divBdr>
        <w:top w:val="none" w:sz="0" w:space="0" w:color="auto"/>
        <w:left w:val="none" w:sz="0" w:space="0" w:color="auto"/>
        <w:bottom w:val="none" w:sz="0" w:space="0" w:color="auto"/>
        <w:right w:val="none" w:sz="0" w:space="0" w:color="auto"/>
      </w:divBdr>
    </w:div>
    <w:div w:id="860048898">
      <w:bodyDiv w:val="1"/>
      <w:marLeft w:val="0"/>
      <w:marRight w:val="0"/>
      <w:marTop w:val="0"/>
      <w:marBottom w:val="0"/>
      <w:divBdr>
        <w:top w:val="none" w:sz="0" w:space="0" w:color="auto"/>
        <w:left w:val="none" w:sz="0" w:space="0" w:color="auto"/>
        <w:bottom w:val="none" w:sz="0" w:space="0" w:color="auto"/>
        <w:right w:val="none" w:sz="0" w:space="0" w:color="auto"/>
      </w:divBdr>
    </w:div>
    <w:div w:id="1009405619">
      <w:bodyDiv w:val="1"/>
      <w:marLeft w:val="0"/>
      <w:marRight w:val="0"/>
      <w:marTop w:val="0"/>
      <w:marBottom w:val="0"/>
      <w:divBdr>
        <w:top w:val="none" w:sz="0" w:space="0" w:color="auto"/>
        <w:left w:val="none" w:sz="0" w:space="0" w:color="auto"/>
        <w:bottom w:val="none" w:sz="0" w:space="0" w:color="auto"/>
        <w:right w:val="none" w:sz="0" w:space="0" w:color="auto"/>
      </w:divBdr>
    </w:div>
    <w:div w:id="1047334631">
      <w:bodyDiv w:val="1"/>
      <w:marLeft w:val="0"/>
      <w:marRight w:val="0"/>
      <w:marTop w:val="0"/>
      <w:marBottom w:val="0"/>
      <w:divBdr>
        <w:top w:val="none" w:sz="0" w:space="0" w:color="auto"/>
        <w:left w:val="none" w:sz="0" w:space="0" w:color="auto"/>
        <w:bottom w:val="none" w:sz="0" w:space="0" w:color="auto"/>
        <w:right w:val="none" w:sz="0" w:space="0" w:color="auto"/>
      </w:divBdr>
    </w:div>
    <w:div w:id="1092165014">
      <w:bodyDiv w:val="1"/>
      <w:marLeft w:val="0"/>
      <w:marRight w:val="0"/>
      <w:marTop w:val="0"/>
      <w:marBottom w:val="0"/>
      <w:divBdr>
        <w:top w:val="none" w:sz="0" w:space="0" w:color="auto"/>
        <w:left w:val="none" w:sz="0" w:space="0" w:color="auto"/>
        <w:bottom w:val="none" w:sz="0" w:space="0" w:color="auto"/>
        <w:right w:val="none" w:sz="0" w:space="0" w:color="auto"/>
      </w:divBdr>
    </w:div>
    <w:div w:id="1113861023">
      <w:bodyDiv w:val="1"/>
      <w:marLeft w:val="0"/>
      <w:marRight w:val="0"/>
      <w:marTop w:val="0"/>
      <w:marBottom w:val="0"/>
      <w:divBdr>
        <w:top w:val="none" w:sz="0" w:space="0" w:color="auto"/>
        <w:left w:val="none" w:sz="0" w:space="0" w:color="auto"/>
        <w:bottom w:val="none" w:sz="0" w:space="0" w:color="auto"/>
        <w:right w:val="none" w:sz="0" w:space="0" w:color="auto"/>
      </w:divBdr>
    </w:div>
    <w:div w:id="1353343704">
      <w:bodyDiv w:val="1"/>
      <w:marLeft w:val="0"/>
      <w:marRight w:val="0"/>
      <w:marTop w:val="0"/>
      <w:marBottom w:val="0"/>
      <w:divBdr>
        <w:top w:val="none" w:sz="0" w:space="0" w:color="auto"/>
        <w:left w:val="none" w:sz="0" w:space="0" w:color="auto"/>
        <w:bottom w:val="none" w:sz="0" w:space="0" w:color="auto"/>
        <w:right w:val="none" w:sz="0" w:space="0" w:color="auto"/>
      </w:divBdr>
    </w:div>
    <w:div w:id="1571574740">
      <w:bodyDiv w:val="1"/>
      <w:marLeft w:val="0"/>
      <w:marRight w:val="0"/>
      <w:marTop w:val="0"/>
      <w:marBottom w:val="0"/>
      <w:divBdr>
        <w:top w:val="none" w:sz="0" w:space="0" w:color="auto"/>
        <w:left w:val="none" w:sz="0" w:space="0" w:color="auto"/>
        <w:bottom w:val="none" w:sz="0" w:space="0" w:color="auto"/>
        <w:right w:val="none" w:sz="0" w:space="0" w:color="auto"/>
      </w:divBdr>
    </w:div>
    <w:div w:id="1591818152">
      <w:bodyDiv w:val="1"/>
      <w:marLeft w:val="0"/>
      <w:marRight w:val="0"/>
      <w:marTop w:val="0"/>
      <w:marBottom w:val="0"/>
      <w:divBdr>
        <w:top w:val="none" w:sz="0" w:space="0" w:color="auto"/>
        <w:left w:val="none" w:sz="0" w:space="0" w:color="auto"/>
        <w:bottom w:val="none" w:sz="0" w:space="0" w:color="auto"/>
        <w:right w:val="none" w:sz="0" w:space="0" w:color="auto"/>
      </w:divBdr>
    </w:div>
    <w:div w:id="1612323520">
      <w:bodyDiv w:val="1"/>
      <w:marLeft w:val="0"/>
      <w:marRight w:val="0"/>
      <w:marTop w:val="0"/>
      <w:marBottom w:val="0"/>
      <w:divBdr>
        <w:top w:val="none" w:sz="0" w:space="0" w:color="auto"/>
        <w:left w:val="none" w:sz="0" w:space="0" w:color="auto"/>
        <w:bottom w:val="none" w:sz="0" w:space="0" w:color="auto"/>
        <w:right w:val="none" w:sz="0" w:space="0" w:color="auto"/>
      </w:divBdr>
    </w:div>
    <w:div w:id="1809323687">
      <w:bodyDiv w:val="1"/>
      <w:marLeft w:val="0"/>
      <w:marRight w:val="0"/>
      <w:marTop w:val="0"/>
      <w:marBottom w:val="0"/>
      <w:divBdr>
        <w:top w:val="none" w:sz="0" w:space="0" w:color="auto"/>
        <w:left w:val="none" w:sz="0" w:space="0" w:color="auto"/>
        <w:bottom w:val="none" w:sz="0" w:space="0" w:color="auto"/>
        <w:right w:val="none" w:sz="0" w:space="0" w:color="auto"/>
      </w:divBdr>
    </w:div>
    <w:div w:id="1998072752">
      <w:bodyDiv w:val="1"/>
      <w:marLeft w:val="0"/>
      <w:marRight w:val="0"/>
      <w:marTop w:val="0"/>
      <w:marBottom w:val="0"/>
      <w:divBdr>
        <w:top w:val="none" w:sz="0" w:space="0" w:color="auto"/>
        <w:left w:val="none" w:sz="0" w:space="0" w:color="auto"/>
        <w:bottom w:val="none" w:sz="0" w:space="0" w:color="auto"/>
        <w:right w:val="none" w:sz="0" w:space="0" w:color="auto"/>
      </w:divBdr>
    </w:div>
    <w:div w:id="2088766537">
      <w:bodyDiv w:val="1"/>
      <w:marLeft w:val="0"/>
      <w:marRight w:val="0"/>
      <w:marTop w:val="0"/>
      <w:marBottom w:val="0"/>
      <w:divBdr>
        <w:top w:val="none" w:sz="0" w:space="0" w:color="auto"/>
        <w:left w:val="none" w:sz="0" w:space="0" w:color="auto"/>
        <w:bottom w:val="none" w:sz="0" w:space="0" w:color="auto"/>
        <w:right w:val="none" w:sz="0" w:space="0" w:color="auto"/>
      </w:divBdr>
    </w:div>
    <w:div w:id="21108090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mailto:ceo@nepc.gov.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Macintosh%20HD:Users:camronaref-adib:Documents:Camron%20Key%20:NEPC:covid-19%20impact%20assessment%20:cocoa%20bean%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camronaref-adib:Downloads:Transactions%2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camronaref-adib:Downloads:Transactions%20(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camronaref-adib:Downloads:Transactions%20(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1"/>
    <c:plotArea>
      <c:layout/>
      <c:lineChart>
        <c:grouping val="standard"/>
        <c:varyColors val="0"/>
        <c:ser>
          <c:idx val="0"/>
          <c:order val="0"/>
          <c:spPr>
            <a:ln w="28575" cmpd="sng">
              <a:solidFill>
                <a:srgbClr val="008000"/>
              </a:solidFill>
            </a:ln>
          </c:spPr>
          <c:marker>
            <c:symbol val="none"/>
          </c:marker>
          <c:cat>
            <c:strRef>
              <c:f>Sheet1!$C$7:$C$16</c:f>
              <c:strCache>
                <c:ptCount val="10"/>
                <c:pt idx="0">
                  <c:v>2020-01-31</c:v>
                </c:pt>
                <c:pt idx="1">
                  <c:v>2020-02-03</c:v>
                </c:pt>
                <c:pt idx="2">
                  <c:v>2020-02-07</c:v>
                </c:pt>
                <c:pt idx="3">
                  <c:v>2020-02-14</c:v>
                </c:pt>
                <c:pt idx="4">
                  <c:v>2020-02-21</c:v>
                </c:pt>
                <c:pt idx="5">
                  <c:v>2020-03-02</c:v>
                </c:pt>
                <c:pt idx="6">
                  <c:v>2020-03-06</c:v>
                </c:pt>
                <c:pt idx="7">
                  <c:v>2020-03-16</c:v>
                </c:pt>
                <c:pt idx="8">
                  <c:v>2020-03-20</c:v>
                </c:pt>
                <c:pt idx="9">
                  <c:v>2020-03-27</c:v>
                </c:pt>
              </c:strCache>
            </c:strRef>
          </c:cat>
          <c:val>
            <c:numRef>
              <c:f>Sheet1!$D$7:$D$16</c:f>
              <c:numCache>
                <c:formatCode>General</c:formatCode>
                <c:ptCount val="10"/>
                <c:pt idx="0">
                  <c:v>2880.63</c:v>
                </c:pt>
                <c:pt idx="1">
                  <c:v>2851.07</c:v>
                </c:pt>
                <c:pt idx="2">
                  <c:v>2817.72</c:v>
                </c:pt>
                <c:pt idx="3">
                  <c:v>2854.35</c:v>
                </c:pt>
                <c:pt idx="4">
                  <c:v>2879.39</c:v>
                </c:pt>
                <c:pt idx="5">
                  <c:v>2828.04</c:v>
                </c:pt>
                <c:pt idx="6">
                  <c:v>2716.21</c:v>
                </c:pt>
                <c:pt idx="7">
                  <c:v>2566.34</c:v>
                </c:pt>
                <c:pt idx="8">
                  <c:v>2261.1999999999998</c:v>
                </c:pt>
                <c:pt idx="9">
                  <c:v>2440.94</c:v>
                </c:pt>
              </c:numCache>
            </c:numRef>
          </c:val>
          <c:smooth val="0"/>
          <c:extLst>
            <c:ext xmlns:c16="http://schemas.microsoft.com/office/drawing/2014/chart" uri="{C3380CC4-5D6E-409C-BE32-E72D297353CC}">
              <c16:uniqueId val="{00000000-ECD1-4035-AC99-A279F46B978B}"/>
            </c:ext>
          </c:extLst>
        </c:ser>
        <c:dLbls>
          <c:showLegendKey val="0"/>
          <c:showVal val="0"/>
          <c:showCatName val="0"/>
          <c:showSerName val="0"/>
          <c:showPercent val="0"/>
          <c:showBubbleSize val="0"/>
        </c:dLbls>
        <c:smooth val="0"/>
        <c:axId val="2080398472"/>
        <c:axId val="2080571720"/>
      </c:lineChart>
      <c:catAx>
        <c:axId val="2080398472"/>
        <c:scaling>
          <c:orientation val="minMax"/>
        </c:scaling>
        <c:delete val="0"/>
        <c:axPos val="b"/>
        <c:numFmt formatCode="General" sourceLinked="0"/>
        <c:majorTickMark val="none"/>
        <c:minorTickMark val="none"/>
        <c:tickLblPos val="nextTo"/>
        <c:crossAx val="2080571720"/>
        <c:crosses val="autoZero"/>
        <c:auto val="1"/>
        <c:lblAlgn val="ctr"/>
        <c:lblOffset val="100"/>
        <c:noMultiLvlLbl val="0"/>
      </c:catAx>
      <c:valAx>
        <c:axId val="2080571720"/>
        <c:scaling>
          <c:orientation val="minMax"/>
          <c:max val="3000"/>
          <c:min val="1500"/>
        </c:scaling>
        <c:delete val="0"/>
        <c:axPos val="l"/>
        <c:title>
          <c:tx>
            <c:rich>
              <a:bodyPr rot="-5400000" vert="horz"/>
              <a:lstStyle/>
              <a:p>
                <a:pPr>
                  <a:defRPr sz="1000"/>
                </a:pPr>
                <a:r>
                  <a:rPr lang="en-US" sz="1000"/>
                  <a:t>USD/tonne</a:t>
                </a:r>
              </a:p>
            </c:rich>
          </c:tx>
          <c:overlay val="0"/>
        </c:title>
        <c:numFmt formatCode="General" sourceLinked="1"/>
        <c:majorTickMark val="none"/>
        <c:minorTickMark val="none"/>
        <c:tickLblPos val="nextTo"/>
        <c:crossAx val="2080398472"/>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spPr>
            <a:ln w="28575">
              <a:solidFill>
                <a:srgbClr val="008000"/>
              </a:solidFill>
            </a:ln>
          </c:spPr>
          <c:marker>
            <c:symbol val="none"/>
          </c:marker>
          <c:cat>
            <c:strRef>
              <c:f>Sheet1!$B$3:$B$15</c:f>
              <c:strCache>
                <c:ptCount val="13"/>
                <c:pt idx="0">
                  <c:v>2020-01-03</c:v>
                </c:pt>
                <c:pt idx="1">
                  <c:v>2020-01-10</c:v>
                </c:pt>
                <c:pt idx="2">
                  <c:v>2020-01-17</c:v>
                </c:pt>
                <c:pt idx="3">
                  <c:v>2020-01-24</c:v>
                </c:pt>
                <c:pt idx="4">
                  <c:v>2020-02-03</c:v>
                </c:pt>
                <c:pt idx="5">
                  <c:v>2020-02-07</c:v>
                </c:pt>
                <c:pt idx="6">
                  <c:v>2020-02-14</c:v>
                </c:pt>
                <c:pt idx="7">
                  <c:v>2020-02-21</c:v>
                </c:pt>
                <c:pt idx="8">
                  <c:v>2020-03-02</c:v>
                </c:pt>
                <c:pt idx="9">
                  <c:v>2020-03-06</c:v>
                </c:pt>
                <c:pt idx="10">
                  <c:v>2020-03-16</c:v>
                </c:pt>
                <c:pt idx="11">
                  <c:v>2020-03-20</c:v>
                </c:pt>
                <c:pt idx="12">
                  <c:v>2020-03-27</c:v>
                </c:pt>
              </c:strCache>
            </c:strRef>
          </c:cat>
          <c:val>
            <c:numRef>
              <c:f>Sheet1!$C$3:$C$15</c:f>
              <c:numCache>
                <c:formatCode>General</c:formatCode>
                <c:ptCount val="13"/>
                <c:pt idx="0">
                  <c:v>1230</c:v>
                </c:pt>
                <c:pt idx="1">
                  <c:v>1280</c:v>
                </c:pt>
                <c:pt idx="2">
                  <c:v>1280</c:v>
                </c:pt>
                <c:pt idx="3">
                  <c:v>1260</c:v>
                </c:pt>
                <c:pt idx="4">
                  <c:v>1270</c:v>
                </c:pt>
                <c:pt idx="5">
                  <c:v>1240</c:v>
                </c:pt>
                <c:pt idx="6">
                  <c:v>1230</c:v>
                </c:pt>
                <c:pt idx="7">
                  <c:v>1220</c:v>
                </c:pt>
                <c:pt idx="8">
                  <c:v>1210</c:v>
                </c:pt>
                <c:pt idx="9">
                  <c:v>1210</c:v>
                </c:pt>
                <c:pt idx="10">
                  <c:v>1210</c:v>
                </c:pt>
                <c:pt idx="11">
                  <c:v>1180</c:v>
                </c:pt>
                <c:pt idx="12">
                  <c:v>1210</c:v>
                </c:pt>
              </c:numCache>
            </c:numRef>
          </c:val>
          <c:smooth val="0"/>
          <c:extLst>
            <c:ext xmlns:c16="http://schemas.microsoft.com/office/drawing/2014/chart" uri="{C3380CC4-5D6E-409C-BE32-E72D297353CC}">
              <c16:uniqueId val="{00000000-B6A1-40F0-9008-8D7E7A775D39}"/>
            </c:ext>
          </c:extLst>
        </c:ser>
        <c:dLbls>
          <c:showLegendKey val="0"/>
          <c:showVal val="0"/>
          <c:showCatName val="0"/>
          <c:showSerName val="0"/>
          <c:showPercent val="0"/>
          <c:showBubbleSize val="0"/>
        </c:dLbls>
        <c:smooth val="0"/>
        <c:axId val="-2133124264"/>
        <c:axId val="-2133121256"/>
      </c:lineChart>
      <c:catAx>
        <c:axId val="-2133124264"/>
        <c:scaling>
          <c:orientation val="minMax"/>
        </c:scaling>
        <c:delete val="0"/>
        <c:axPos val="b"/>
        <c:numFmt formatCode="General" sourceLinked="0"/>
        <c:majorTickMark val="out"/>
        <c:minorTickMark val="none"/>
        <c:tickLblPos val="nextTo"/>
        <c:crossAx val="-2133121256"/>
        <c:crosses val="autoZero"/>
        <c:auto val="1"/>
        <c:lblAlgn val="ctr"/>
        <c:lblOffset val="100"/>
        <c:noMultiLvlLbl val="0"/>
      </c:catAx>
      <c:valAx>
        <c:axId val="-2133121256"/>
        <c:scaling>
          <c:orientation val="minMax"/>
        </c:scaling>
        <c:delete val="0"/>
        <c:axPos val="l"/>
        <c:title>
          <c:tx>
            <c:rich>
              <a:bodyPr rot="-5400000" vert="horz"/>
              <a:lstStyle/>
              <a:p>
                <a:pPr>
                  <a:defRPr/>
                </a:pPr>
                <a:r>
                  <a:rPr lang="en-US"/>
                  <a:t>USD/tonne</a:t>
                </a:r>
              </a:p>
            </c:rich>
          </c:tx>
          <c:overlay val="0"/>
        </c:title>
        <c:numFmt formatCode="General" sourceLinked="1"/>
        <c:majorTickMark val="out"/>
        <c:minorTickMark val="none"/>
        <c:tickLblPos val="nextTo"/>
        <c:crossAx val="-213312426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0"/>
    <c:plotArea>
      <c:layout/>
      <c:lineChart>
        <c:grouping val="standard"/>
        <c:varyColors val="0"/>
        <c:ser>
          <c:idx val="0"/>
          <c:order val="0"/>
          <c:spPr>
            <a:ln w="28575" cmpd="sng">
              <a:solidFill>
                <a:srgbClr val="008000"/>
              </a:solidFill>
            </a:ln>
          </c:spPr>
          <c:marker>
            <c:symbol val="none"/>
          </c:marker>
          <c:cat>
            <c:strRef>
              <c:f>Sheet1!$B$3:$B$9</c:f>
              <c:strCache>
                <c:ptCount val="7"/>
                <c:pt idx="0">
                  <c:v>2020-02-14</c:v>
                </c:pt>
                <c:pt idx="1">
                  <c:v>2020-02-21</c:v>
                </c:pt>
                <c:pt idx="2">
                  <c:v>2020-03-02</c:v>
                </c:pt>
                <c:pt idx="3">
                  <c:v>2020-03-06</c:v>
                </c:pt>
                <c:pt idx="4">
                  <c:v>2020-03-16</c:v>
                </c:pt>
                <c:pt idx="5">
                  <c:v>2020-03-20</c:v>
                </c:pt>
                <c:pt idx="6">
                  <c:v>2020-03-27</c:v>
                </c:pt>
              </c:strCache>
            </c:strRef>
          </c:cat>
          <c:val>
            <c:numRef>
              <c:f>Sheet1!$C$3:$C$9</c:f>
              <c:numCache>
                <c:formatCode>General</c:formatCode>
                <c:ptCount val="7"/>
                <c:pt idx="0">
                  <c:v>1375</c:v>
                </c:pt>
                <c:pt idx="1">
                  <c:v>1275</c:v>
                </c:pt>
                <c:pt idx="2">
                  <c:v>1125</c:v>
                </c:pt>
                <c:pt idx="3">
                  <c:v>1125</c:v>
                </c:pt>
                <c:pt idx="4">
                  <c:v>1050</c:v>
                </c:pt>
                <c:pt idx="5">
                  <c:v>1050</c:v>
                </c:pt>
                <c:pt idx="6">
                  <c:v>1050</c:v>
                </c:pt>
              </c:numCache>
            </c:numRef>
          </c:val>
          <c:smooth val="0"/>
          <c:extLst>
            <c:ext xmlns:c16="http://schemas.microsoft.com/office/drawing/2014/chart" uri="{C3380CC4-5D6E-409C-BE32-E72D297353CC}">
              <c16:uniqueId val="{00000000-AB56-4B0E-B24F-CC9451596C91}"/>
            </c:ext>
          </c:extLst>
        </c:ser>
        <c:dLbls>
          <c:showLegendKey val="0"/>
          <c:showVal val="0"/>
          <c:showCatName val="0"/>
          <c:showSerName val="0"/>
          <c:showPercent val="0"/>
          <c:showBubbleSize val="0"/>
        </c:dLbls>
        <c:smooth val="0"/>
        <c:axId val="2129881160"/>
        <c:axId val="2130151304"/>
      </c:lineChart>
      <c:catAx>
        <c:axId val="2129881160"/>
        <c:scaling>
          <c:orientation val="minMax"/>
        </c:scaling>
        <c:delete val="0"/>
        <c:axPos val="b"/>
        <c:numFmt formatCode="General" sourceLinked="0"/>
        <c:majorTickMark val="out"/>
        <c:minorTickMark val="none"/>
        <c:tickLblPos val="nextTo"/>
        <c:crossAx val="2130151304"/>
        <c:crosses val="autoZero"/>
        <c:auto val="1"/>
        <c:lblAlgn val="ctr"/>
        <c:lblOffset val="100"/>
        <c:noMultiLvlLbl val="0"/>
      </c:catAx>
      <c:valAx>
        <c:axId val="2130151304"/>
        <c:scaling>
          <c:orientation val="minMax"/>
          <c:min val="800"/>
        </c:scaling>
        <c:delete val="0"/>
        <c:axPos val="l"/>
        <c:title>
          <c:tx>
            <c:rich>
              <a:bodyPr rot="-5400000" vert="horz"/>
              <a:lstStyle/>
              <a:p>
                <a:pPr>
                  <a:defRPr/>
                </a:pPr>
                <a:r>
                  <a:rPr lang="en-US"/>
                  <a:t>USD/tonne</a:t>
                </a:r>
              </a:p>
            </c:rich>
          </c:tx>
          <c:overlay val="0"/>
        </c:title>
        <c:numFmt formatCode="General" sourceLinked="1"/>
        <c:majorTickMark val="out"/>
        <c:minorTickMark val="none"/>
        <c:tickLblPos val="nextTo"/>
        <c:crossAx val="212988116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spPr>
            <a:ln w="28575">
              <a:solidFill>
                <a:srgbClr val="008000"/>
              </a:solidFill>
            </a:ln>
          </c:spPr>
          <c:marker>
            <c:symbol val="none"/>
          </c:marker>
          <c:cat>
            <c:strRef>
              <c:f>Sheet1!$C$3:$C$14</c:f>
              <c:strCache>
                <c:ptCount val="12"/>
                <c:pt idx="0">
                  <c:v>2020-01-10</c:v>
                </c:pt>
                <c:pt idx="1">
                  <c:v>2020-01-17</c:v>
                </c:pt>
                <c:pt idx="2">
                  <c:v>2020-01-24</c:v>
                </c:pt>
                <c:pt idx="3">
                  <c:v>2020-02-03</c:v>
                </c:pt>
                <c:pt idx="4">
                  <c:v>2020-02-07</c:v>
                </c:pt>
                <c:pt idx="5">
                  <c:v>2020-02-14</c:v>
                </c:pt>
                <c:pt idx="6">
                  <c:v>2020-02-21</c:v>
                </c:pt>
                <c:pt idx="7">
                  <c:v>2020-03-02</c:v>
                </c:pt>
                <c:pt idx="8">
                  <c:v>2020-03-06</c:v>
                </c:pt>
                <c:pt idx="9">
                  <c:v>2020-03-16</c:v>
                </c:pt>
                <c:pt idx="10">
                  <c:v>2020-03-20</c:v>
                </c:pt>
                <c:pt idx="11">
                  <c:v>2020-03-27</c:v>
                </c:pt>
              </c:strCache>
            </c:strRef>
          </c:cat>
          <c:val>
            <c:numRef>
              <c:f>Sheet1!$D$3:$D$14</c:f>
              <c:numCache>
                <c:formatCode>General</c:formatCode>
                <c:ptCount val="12"/>
                <c:pt idx="0">
                  <c:v>2220</c:v>
                </c:pt>
                <c:pt idx="1">
                  <c:v>2220</c:v>
                </c:pt>
                <c:pt idx="2">
                  <c:v>2210</c:v>
                </c:pt>
                <c:pt idx="3">
                  <c:v>2210</c:v>
                </c:pt>
                <c:pt idx="4">
                  <c:v>2740</c:v>
                </c:pt>
                <c:pt idx="5">
                  <c:v>2710</c:v>
                </c:pt>
                <c:pt idx="6">
                  <c:v>2710</c:v>
                </c:pt>
                <c:pt idx="7">
                  <c:v>2900</c:v>
                </c:pt>
                <c:pt idx="8">
                  <c:v>2930</c:v>
                </c:pt>
                <c:pt idx="9">
                  <c:v>2910</c:v>
                </c:pt>
                <c:pt idx="10">
                  <c:v>2780</c:v>
                </c:pt>
                <c:pt idx="11">
                  <c:v>2900</c:v>
                </c:pt>
              </c:numCache>
            </c:numRef>
          </c:val>
          <c:smooth val="0"/>
          <c:extLst>
            <c:ext xmlns:c16="http://schemas.microsoft.com/office/drawing/2014/chart" uri="{C3380CC4-5D6E-409C-BE32-E72D297353CC}">
              <c16:uniqueId val="{00000000-0BBB-4C9F-980C-B71E3E2165A5}"/>
            </c:ext>
          </c:extLst>
        </c:ser>
        <c:dLbls>
          <c:showLegendKey val="0"/>
          <c:showVal val="0"/>
          <c:showCatName val="0"/>
          <c:showSerName val="0"/>
          <c:showPercent val="0"/>
          <c:showBubbleSize val="0"/>
        </c:dLbls>
        <c:smooth val="0"/>
        <c:axId val="-2135289752"/>
        <c:axId val="-2135286744"/>
      </c:lineChart>
      <c:catAx>
        <c:axId val="-2135289752"/>
        <c:scaling>
          <c:orientation val="minMax"/>
        </c:scaling>
        <c:delete val="0"/>
        <c:axPos val="b"/>
        <c:numFmt formatCode="General" sourceLinked="0"/>
        <c:majorTickMark val="out"/>
        <c:minorTickMark val="none"/>
        <c:tickLblPos val="nextTo"/>
        <c:crossAx val="-2135286744"/>
        <c:crosses val="autoZero"/>
        <c:auto val="1"/>
        <c:lblAlgn val="ctr"/>
        <c:lblOffset val="100"/>
        <c:noMultiLvlLbl val="0"/>
      </c:catAx>
      <c:valAx>
        <c:axId val="-2135286744"/>
        <c:scaling>
          <c:orientation val="minMax"/>
          <c:min val="1500"/>
        </c:scaling>
        <c:delete val="0"/>
        <c:axPos val="l"/>
        <c:title>
          <c:tx>
            <c:rich>
              <a:bodyPr rot="-5400000" vert="horz"/>
              <a:lstStyle/>
              <a:p>
                <a:pPr>
                  <a:defRPr/>
                </a:pPr>
                <a:r>
                  <a:rPr lang="en-US"/>
                  <a:t>USD/tonne</a:t>
                </a:r>
              </a:p>
            </c:rich>
          </c:tx>
          <c:overlay val="0"/>
        </c:title>
        <c:numFmt formatCode="General" sourceLinked="1"/>
        <c:majorTickMark val="out"/>
        <c:minorTickMark val="none"/>
        <c:tickLblPos val="nextTo"/>
        <c:crossAx val="-2135289752"/>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0.60887</cdr:x>
      <cdr:y>0.01207</cdr:y>
    </cdr:from>
    <cdr:to>
      <cdr:x>0.60887</cdr:x>
      <cdr:y>0.69794</cdr:y>
    </cdr:to>
    <cdr:cxnSp macro="">
      <cdr:nvCxnSpPr>
        <cdr:cNvPr id="16" name="Straight Connector 15"/>
        <cdr:cNvCxnSpPr/>
      </cdr:nvCxnSpPr>
      <cdr:spPr>
        <a:xfrm xmlns:a="http://schemas.openxmlformats.org/drawingml/2006/main" flipV="1">
          <a:off x="1888702" y="32173"/>
          <a:ext cx="0" cy="1828800"/>
        </a:xfrm>
        <a:prstGeom xmlns:a="http://schemas.openxmlformats.org/drawingml/2006/main" prst="line">
          <a:avLst/>
        </a:prstGeom>
        <a:ln xmlns:a="http://schemas.openxmlformats.org/drawingml/2006/main" w="12700">
          <a:solidFill>
            <a:schemeClr val="tx1"/>
          </a:solidFill>
          <a:prstDash val="dash"/>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0.60887</cdr:x>
      <cdr:y>0.28265</cdr:y>
    </cdr:from>
    <cdr:to>
      <cdr:x>0.8668</cdr:x>
      <cdr:y>0.60658</cdr:y>
    </cdr:to>
    <cdr:sp macro="" textlink="">
      <cdr:nvSpPr>
        <cdr:cNvPr id="17" name="Text Box 16"/>
        <cdr:cNvSpPr txBox="1"/>
      </cdr:nvSpPr>
      <cdr:spPr>
        <a:xfrm xmlns:a="http://schemas.openxmlformats.org/drawingml/2006/main">
          <a:off x="1888702" y="832273"/>
          <a:ext cx="800100" cy="9538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solidFill>
                <a:srgbClr val="3F3F3F"/>
              </a:solidFill>
            </a:rPr>
            <a:t>First</a:t>
          </a:r>
          <a:r>
            <a:rPr lang="en-US" sz="1000" baseline="0">
              <a:solidFill>
                <a:srgbClr val="3F3F3F"/>
              </a:solidFill>
            </a:rPr>
            <a:t> confirmed covid-19 case in Nigeria</a:t>
          </a:r>
          <a:endParaRPr lang="en-US" sz="1000">
            <a:solidFill>
              <a:srgbClr val="3F3F3F"/>
            </a:solidFill>
          </a:endParaRPr>
        </a:p>
      </cdr:txBody>
    </cdr:sp>
  </cdr:relSizeAnchor>
</c:userShapes>
</file>

<file path=word/theme/theme1.xml><?xml version="1.0" encoding="utf-8"?>
<a:theme xmlns:a="http://schemas.openxmlformats.org/drawingml/2006/main" name="SET">
  <a:themeElements>
    <a:clrScheme name="SET MASTER">
      <a:dk1>
        <a:srgbClr val="3F3F3F"/>
      </a:dk1>
      <a:lt1>
        <a:sysClr val="window" lastClr="FFFFFF"/>
      </a:lt1>
      <a:dk2>
        <a:srgbClr val="361C7F"/>
      </a:dk2>
      <a:lt2>
        <a:srgbClr val="B5B1BB"/>
      </a:lt2>
      <a:accent1>
        <a:srgbClr val="361C7F"/>
      </a:accent1>
      <a:accent2>
        <a:srgbClr val="C49C51"/>
      </a:accent2>
      <a:accent3>
        <a:srgbClr val="FFFFFF"/>
      </a:accent3>
      <a:accent4>
        <a:srgbClr val="C84F46"/>
      </a:accent4>
      <a:accent5>
        <a:srgbClr val="287ABB"/>
      </a:accent5>
      <a:accent6>
        <a:srgbClr val="8C8C8C"/>
      </a:accent6>
      <a:hlink>
        <a:srgbClr val="00ABFF"/>
      </a:hlink>
      <a:folHlink>
        <a:srgbClr val="007A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bbe2c27-8c55-44d7-912d-d4e086faaa3d">
      <UserInfo>
        <DisplayName>Dirk Willem te Velde</DisplayName>
        <AccountId>56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4C96A13D187C4F90646DA287083A1E" ma:contentTypeVersion="11" ma:contentTypeDescription="Create a new document." ma:contentTypeScope="" ma:versionID="fcf92004e7fa1ba3fa86bc274200ec7b">
  <xsd:schema xmlns:xsd="http://www.w3.org/2001/XMLSchema" xmlns:xs="http://www.w3.org/2001/XMLSchema" xmlns:p="http://schemas.microsoft.com/office/2006/metadata/properties" xmlns:ns3="5bbe2c27-8c55-44d7-912d-d4e086faaa3d" xmlns:ns4="bf609a2c-bea3-476d-aece-f493c7d3fb30" targetNamespace="http://schemas.microsoft.com/office/2006/metadata/properties" ma:root="true" ma:fieldsID="b5a147f02aeb844daa7fad4fdc1efa41" ns3:_="" ns4:_="">
    <xsd:import namespace="5bbe2c27-8c55-44d7-912d-d4e086faaa3d"/>
    <xsd:import namespace="bf609a2c-bea3-476d-aece-f493c7d3fb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e2c27-8c55-44d7-912d-d4e086faaa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609a2c-bea3-476d-aece-f493c7d3fb3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16D8F-9DC8-4125-A549-7E4E5FAD486E}">
  <ds:schemaRefs>
    <ds:schemaRef ds:uri="http://schemas.microsoft.com/sharepoint/v3/contenttype/forms"/>
  </ds:schemaRefs>
</ds:datastoreItem>
</file>

<file path=customXml/itemProps2.xml><?xml version="1.0" encoding="utf-8"?>
<ds:datastoreItem xmlns:ds="http://schemas.openxmlformats.org/officeDocument/2006/customXml" ds:itemID="{3F9A5463-B6C4-474E-B214-F5C3881FBCC7}">
  <ds:schemaRefs>
    <ds:schemaRef ds:uri="http://schemas.microsoft.com/office/2006/metadata/properties"/>
    <ds:schemaRef ds:uri="http://schemas.microsoft.com/office/infopath/2007/PartnerControls"/>
    <ds:schemaRef ds:uri="5bbe2c27-8c55-44d7-912d-d4e086faaa3d"/>
  </ds:schemaRefs>
</ds:datastoreItem>
</file>

<file path=customXml/itemProps3.xml><?xml version="1.0" encoding="utf-8"?>
<ds:datastoreItem xmlns:ds="http://schemas.openxmlformats.org/officeDocument/2006/customXml" ds:itemID="{72DA4315-8D3F-401E-92A9-9D475CF9E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e2c27-8c55-44d7-912d-d4e086faaa3d"/>
    <ds:schemaRef ds:uri="bf609a2c-bea3-476d-aece-f493c7d3f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D247EE-EB62-4151-AC28-C1D1BD45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2205</Words>
  <Characters>12573</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Introduction</vt:lpstr>
      <vt:lpstr>    Economic and social impacts </vt:lpstr>
      <vt:lpstr>    Fiscal impacts</vt:lpstr>
      <vt:lpstr>    Monetary and financial policy </vt:lpstr>
      <vt:lpstr>    Fiscal policy </vt:lpstr>
      <vt:lpstr>    Other policy </vt:lpstr>
      <vt:lpstr>    Donor support</vt:lpstr>
    </vt:vector>
  </TitlesOfParts>
  <Company/>
  <LinksUpToDate>false</LinksUpToDate>
  <CharactersWithSpaces>14749</CharactersWithSpaces>
  <SharedDoc>false</SharedDoc>
  <HLinks>
    <vt:vector size="6" baseType="variant">
      <vt:variant>
        <vt:i4>3801144</vt:i4>
      </vt:variant>
      <vt:variant>
        <vt:i4>-1</vt:i4>
      </vt:variant>
      <vt:variant>
        <vt:i4>2136</vt:i4>
      </vt:variant>
      <vt:variant>
        <vt:i4>1</vt:i4>
      </vt:variant>
      <vt:variant>
        <vt:lpwstr>L&amp;D-01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Lightner</dc:creator>
  <cp:lastModifiedBy>Ameh</cp:lastModifiedBy>
  <cp:revision>2</cp:revision>
  <cp:lastPrinted>2019-10-28T17:42:00Z</cp:lastPrinted>
  <dcterms:created xsi:type="dcterms:W3CDTF">2020-04-09T19:22:00Z</dcterms:created>
  <dcterms:modified xsi:type="dcterms:W3CDTF">2020-04-09T19:22:00Z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0x010100AD4C96A13D187C4F90646DA287083A1E</vt:lpwstr>
  </property>
  <property fmtid="{D5CDD505-2E9C-101B-9397-08002B2CF9AE}" pid="3" name="_dlc_DocIdItemGuid">
    <vt:lpwstr>3ce93fe3-e282-49b3-a688-5b8e1ec67d02</vt:lpwstr>
  </property>
  <property fmtid="{D5CDD505-2E9C-101B-9397-08002B2CF9AE}" pid="4" name="TitusGUID">
    <vt:lpwstr>105067a7-bc90-48a5-875a-f024f15d3436</vt:lpwstr>
  </property>
  <property fmtid="{D5CDD505-2E9C-101B-9397-08002B2CF9AE}" pid="5" name="SEC">
    <vt:lpwstr>UNCLASSIFIED</vt:lpwstr>
  </property>
  <property fmtid="{D5CDD505-2E9C-101B-9397-08002B2CF9AE}" pid="6" name="DLM">
    <vt:lpwstr>No DLM</vt:lpwstr>
  </property>
</Properties>
</file>